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5"/>
        <w:tblW w:w="9493" w:type="dxa"/>
        <w:tblLayout w:type="fixed"/>
        <w:tblLook w:val="04A0" w:firstRow="1" w:lastRow="0" w:firstColumn="1" w:lastColumn="0" w:noHBand="0" w:noVBand="1"/>
      </w:tblPr>
      <w:tblGrid>
        <w:gridCol w:w="2405"/>
        <w:gridCol w:w="7088"/>
      </w:tblGrid>
      <w:tr w:rsidR="00BC75B3" w:rsidRPr="00BC75B3" w:rsidTr="004434BF">
        <w:tc>
          <w:tcPr>
            <w:tcW w:w="2405" w:type="dxa"/>
            <w:shd w:val="clear" w:color="auto" w:fill="D9D9D9" w:themeFill="background1" w:themeFillShade="D9"/>
          </w:tcPr>
          <w:p w:rsidR="00F77A60" w:rsidRPr="00BC75B3" w:rsidRDefault="00A620A4" w:rsidP="00461223">
            <w:r>
              <w:rPr>
                <w:noProof/>
                <w:lang w:eastAsia="en-GB"/>
              </w:rPr>
              <w:drawing>
                <wp:anchor distT="0" distB="0" distL="114300" distR="114300" simplePos="0" relativeHeight="251659264" behindDoc="1" locked="0" layoutInCell="1" allowOverlap="1" wp14:anchorId="5D720196" wp14:editId="79B3B2E7">
                  <wp:simplePos x="0" y="0"/>
                  <wp:positionH relativeFrom="page">
                    <wp:align>right</wp:align>
                  </wp:positionH>
                  <wp:positionV relativeFrom="page">
                    <wp:posOffset>24130</wp:posOffset>
                  </wp:positionV>
                  <wp:extent cx="1466850" cy="1551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oosh 2 40% fa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551205"/>
                          </a:xfrm>
                          <a:prstGeom prst="rect">
                            <a:avLst/>
                          </a:prstGeom>
                        </pic:spPr>
                      </pic:pic>
                    </a:graphicData>
                  </a:graphic>
                  <wp14:sizeRelH relativeFrom="margin">
                    <wp14:pctWidth>0</wp14:pctWidth>
                  </wp14:sizeRelH>
                  <wp14:sizeRelV relativeFrom="margin">
                    <wp14:pctHeight>0</wp14:pctHeight>
                  </wp14:sizeRelV>
                </wp:anchor>
              </w:drawing>
            </w:r>
            <w:r w:rsidR="00F77A60" w:rsidRPr="00BC75B3">
              <w:t>Report to:</w:t>
            </w:r>
          </w:p>
        </w:tc>
        <w:sdt>
          <w:sdtPr>
            <w:alias w:val="Report to"/>
            <w:tag w:val="Report to"/>
            <w:id w:val="-2087455742"/>
            <w:placeholder>
              <w:docPart w:val="7597A81870574F16ACD2F2F1901526BB"/>
            </w:placeholder>
            <w:dropDownList>
              <w:listItem w:value="Choose an item."/>
              <w:listItem w:displayText="The Board" w:value="The Board"/>
              <w:listItem w:displayText="Legal Assistance Policy Committee" w:value="Legal Assistance Policy Committee"/>
              <w:listItem w:displayText="Remuneration and Applications Committee" w:value="Remuneration and Applications Committee"/>
              <w:listItem w:displayText="Audit Committee" w:value="Audit Committee"/>
              <w:listItem w:displayText="Section 31 Committee" w:value="Section 31 Committee"/>
              <w:listItem w:displayText="Review Committee" w:value="Review Committee"/>
            </w:dropDownList>
          </w:sdtPr>
          <w:sdtEndPr/>
          <w:sdtContent>
            <w:tc>
              <w:tcPr>
                <w:tcW w:w="7088" w:type="dxa"/>
              </w:tcPr>
              <w:p w:rsidR="00F77A60" w:rsidRPr="00BC75B3" w:rsidRDefault="00F77A60" w:rsidP="00461223">
                <w:r w:rsidRPr="00BC75B3">
                  <w:t>The Board</w:t>
                </w:r>
              </w:p>
            </w:tc>
          </w:sdtContent>
        </w:sdt>
      </w:tr>
      <w:tr w:rsidR="00BC75B3" w:rsidRPr="00BC75B3" w:rsidTr="004434BF">
        <w:tc>
          <w:tcPr>
            <w:tcW w:w="2405" w:type="dxa"/>
            <w:shd w:val="clear" w:color="auto" w:fill="D9D9D9" w:themeFill="background1" w:themeFillShade="D9"/>
          </w:tcPr>
          <w:p w:rsidR="00F77A60" w:rsidRPr="00BC75B3" w:rsidRDefault="00F77A60" w:rsidP="00461223">
            <w:r w:rsidRPr="00BC75B3">
              <w:t>Meeting Date:</w:t>
            </w:r>
          </w:p>
        </w:tc>
        <w:tc>
          <w:tcPr>
            <w:tcW w:w="7088" w:type="dxa"/>
          </w:tcPr>
          <w:p w:rsidR="00F77A60" w:rsidRPr="00BC75B3" w:rsidRDefault="00E352E1" w:rsidP="00E352E1">
            <w:pPr>
              <w:rPr>
                <w:highlight w:val="yellow"/>
              </w:rPr>
            </w:pPr>
            <w:r>
              <w:t>27</w:t>
            </w:r>
            <w:r w:rsidRPr="00E352E1">
              <w:rPr>
                <w:vertAlign w:val="superscript"/>
              </w:rPr>
              <w:t>th</w:t>
            </w:r>
            <w:r>
              <w:t xml:space="preserve"> June</w:t>
            </w:r>
            <w:r w:rsidR="00222534">
              <w:t xml:space="preserve"> 2022</w:t>
            </w:r>
          </w:p>
        </w:tc>
      </w:tr>
      <w:tr w:rsidR="00BC75B3" w:rsidRPr="00BC75B3" w:rsidTr="004434BF">
        <w:tc>
          <w:tcPr>
            <w:tcW w:w="2405" w:type="dxa"/>
            <w:shd w:val="clear" w:color="auto" w:fill="D9D9D9" w:themeFill="background1" w:themeFillShade="D9"/>
          </w:tcPr>
          <w:p w:rsidR="00F77A60" w:rsidRPr="00BC75B3" w:rsidRDefault="00F77A60" w:rsidP="00461223">
            <w:r w:rsidRPr="00BC75B3">
              <w:t>Report Title</w:t>
            </w:r>
          </w:p>
        </w:tc>
        <w:tc>
          <w:tcPr>
            <w:tcW w:w="7088" w:type="dxa"/>
          </w:tcPr>
          <w:p w:rsidR="00F77A60" w:rsidRPr="00BC75B3" w:rsidRDefault="00F77A60" w:rsidP="00461223">
            <w:r w:rsidRPr="00BC75B3">
              <w:t>Performance Report</w:t>
            </w:r>
          </w:p>
        </w:tc>
      </w:tr>
      <w:tr w:rsidR="00BC75B3" w:rsidRPr="00BC75B3" w:rsidTr="004434BF">
        <w:tc>
          <w:tcPr>
            <w:tcW w:w="2405" w:type="dxa"/>
            <w:shd w:val="clear" w:color="auto" w:fill="D9D9D9" w:themeFill="background1" w:themeFillShade="D9"/>
          </w:tcPr>
          <w:p w:rsidR="00F77A60" w:rsidRPr="00BC75B3" w:rsidRDefault="00F77A60" w:rsidP="00461223">
            <w:r w:rsidRPr="00BC75B3">
              <w:t>Report Category</w:t>
            </w:r>
          </w:p>
        </w:tc>
        <w:tc>
          <w:tcPr>
            <w:tcW w:w="7088" w:type="dxa"/>
          </w:tcPr>
          <w:sdt>
            <w:sdtPr>
              <w:id w:val="-488241055"/>
              <w:placeholder>
                <w:docPart w:val="B4A46C12E954491F948CC38B4E89D4E3"/>
              </w:placeholder>
              <w:dropDownList>
                <w:listItem w:value="Choose an item."/>
                <w:listItem w:displayText="For Information" w:value="For Information"/>
                <w:listItem w:displayText="For Decision" w:value="For Decision"/>
                <w:listItem w:displayText="For Discussion" w:value="For Discussion"/>
              </w:dropDownList>
            </w:sdtPr>
            <w:sdtEndPr/>
            <w:sdtContent>
              <w:p w:rsidR="00F77A60" w:rsidRPr="00BC75B3" w:rsidRDefault="00F77A60" w:rsidP="00461223">
                <w:r w:rsidRPr="00BC75B3">
                  <w:t>For Information</w:t>
                </w:r>
              </w:p>
            </w:sdtContent>
          </w:sdt>
        </w:tc>
      </w:tr>
      <w:tr w:rsidR="00BC75B3" w:rsidRPr="00BC75B3" w:rsidTr="004434BF">
        <w:tc>
          <w:tcPr>
            <w:tcW w:w="2405" w:type="dxa"/>
            <w:shd w:val="clear" w:color="auto" w:fill="D9D9D9" w:themeFill="background1" w:themeFillShade="D9"/>
          </w:tcPr>
          <w:p w:rsidR="00F77A60" w:rsidRPr="00BC75B3" w:rsidRDefault="00F77A60" w:rsidP="00461223">
            <w:r w:rsidRPr="00BC75B3">
              <w:t>Issue status:</w:t>
            </w:r>
          </w:p>
          <w:p w:rsidR="00F77A60" w:rsidRPr="00BC75B3" w:rsidRDefault="00F77A60" w:rsidP="00461223"/>
        </w:tc>
        <w:sdt>
          <w:sdtPr>
            <w:id w:val="540716937"/>
            <w:placeholder>
              <w:docPart w:val="447EAB21662B48D3BE7F8D2E168ABED3"/>
            </w:placeholder>
            <w:dropDownList>
              <w:listItem w:value="Choose an item."/>
              <w:listItem w:displayText="Business as usual" w:value="Business as usual"/>
              <w:listItem w:displayText="Business from a project" w:value="Business from a project"/>
              <w:listItem w:displayText="Directorate project" w:value="Directorate project"/>
            </w:dropDownList>
          </w:sdtPr>
          <w:sdtEndPr/>
          <w:sdtContent>
            <w:tc>
              <w:tcPr>
                <w:tcW w:w="7088" w:type="dxa"/>
              </w:tcPr>
              <w:p w:rsidR="00F77A60" w:rsidRPr="00BC75B3" w:rsidRDefault="00F77A60" w:rsidP="00461223">
                <w:r w:rsidRPr="00BC75B3">
                  <w:t>Business as usual</w:t>
                </w:r>
              </w:p>
            </w:tc>
          </w:sdtContent>
        </w:sdt>
      </w:tr>
    </w:tbl>
    <w:p w:rsidR="00F77A60" w:rsidRPr="00BC75B3" w:rsidRDefault="00F77A60" w:rsidP="004434BF"/>
    <w:tbl>
      <w:tblPr>
        <w:tblStyle w:val="TableGrid"/>
        <w:tblW w:w="9493" w:type="dxa"/>
        <w:tblLook w:val="04A0" w:firstRow="1" w:lastRow="0" w:firstColumn="1" w:lastColumn="0" w:noHBand="0" w:noVBand="1"/>
      </w:tblPr>
      <w:tblGrid>
        <w:gridCol w:w="2405"/>
        <w:gridCol w:w="7088"/>
      </w:tblGrid>
      <w:tr w:rsidR="00BC75B3" w:rsidRPr="00BC75B3" w:rsidTr="00461223">
        <w:tc>
          <w:tcPr>
            <w:tcW w:w="2405" w:type="dxa"/>
            <w:shd w:val="clear" w:color="auto" w:fill="D9D9D9" w:themeFill="background1" w:themeFillShade="D9"/>
          </w:tcPr>
          <w:p w:rsidR="00F77A60" w:rsidRPr="00BC75B3" w:rsidRDefault="00F77A60" w:rsidP="00461223">
            <w:r w:rsidRPr="00BC75B3">
              <w:t>Written by:</w:t>
            </w:r>
          </w:p>
        </w:tc>
        <w:tc>
          <w:tcPr>
            <w:tcW w:w="7088" w:type="dxa"/>
          </w:tcPr>
          <w:p w:rsidR="00F77A60" w:rsidRPr="00BC75B3" w:rsidRDefault="00E352E1" w:rsidP="00E352E1">
            <w:pPr>
              <w:rPr>
                <w:lang w:val="fr-FR"/>
              </w:rPr>
            </w:pPr>
            <w:r>
              <w:rPr>
                <w:lang w:val="fr-FR"/>
              </w:rPr>
              <w:t>Adam Ford</w:t>
            </w:r>
            <w:r w:rsidR="00F77A60" w:rsidRPr="00BC75B3">
              <w:rPr>
                <w:lang w:val="fr-FR"/>
              </w:rPr>
              <w:t xml:space="preserve"> &amp;</w:t>
            </w:r>
            <w:r w:rsidR="00222534">
              <w:rPr>
                <w:lang w:val="fr-FR"/>
              </w:rPr>
              <w:t> </w:t>
            </w:r>
            <w:r w:rsidR="00355AFA">
              <w:rPr>
                <w:lang w:val="fr-FR"/>
              </w:rPr>
              <w:t>Linda Ross</w:t>
            </w:r>
          </w:p>
        </w:tc>
      </w:tr>
      <w:tr w:rsidR="00BC75B3" w:rsidRPr="00BC75B3" w:rsidTr="00461223">
        <w:tc>
          <w:tcPr>
            <w:tcW w:w="2405" w:type="dxa"/>
            <w:shd w:val="clear" w:color="auto" w:fill="D9D9D9" w:themeFill="background1" w:themeFillShade="D9"/>
          </w:tcPr>
          <w:p w:rsidR="00F77A60" w:rsidRPr="00BC75B3" w:rsidRDefault="00F77A60" w:rsidP="00461223">
            <w:r w:rsidRPr="00BC75B3">
              <w:t>Director responsible:</w:t>
            </w:r>
          </w:p>
        </w:tc>
        <w:tc>
          <w:tcPr>
            <w:tcW w:w="7088" w:type="dxa"/>
          </w:tcPr>
          <w:p w:rsidR="00F77A60" w:rsidRPr="00BC75B3" w:rsidRDefault="00E352E1" w:rsidP="00461223">
            <w:r>
              <w:t>Adam Ford</w:t>
            </w:r>
          </w:p>
        </w:tc>
      </w:tr>
      <w:tr w:rsidR="00BC75B3" w:rsidRPr="00BC75B3" w:rsidTr="00461223">
        <w:tc>
          <w:tcPr>
            <w:tcW w:w="2405" w:type="dxa"/>
            <w:shd w:val="clear" w:color="auto" w:fill="D9D9D9" w:themeFill="background1" w:themeFillShade="D9"/>
          </w:tcPr>
          <w:p w:rsidR="00F77A60" w:rsidRPr="00BC75B3" w:rsidRDefault="00F77A60" w:rsidP="00461223">
            <w:r w:rsidRPr="00BC75B3">
              <w:t>Presented by:</w:t>
            </w:r>
          </w:p>
        </w:tc>
        <w:tc>
          <w:tcPr>
            <w:tcW w:w="7088" w:type="dxa"/>
          </w:tcPr>
          <w:p w:rsidR="00F77A60" w:rsidRPr="00BC75B3" w:rsidRDefault="00E352E1" w:rsidP="00E352E1">
            <w:r>
              <w:t>Adam Ford</w:t>
            </w:r>
          </w:p>
        </w:tc>
      </w:tr>
      <w:tr w:rsidR="00BC75B3" w:rsidRPr="00BC75B3" w:rsidTr="00461223">
        <w:tc>
          <w:tcPr>
            <w:tcW w:w="2405" w:type="dxa"/>
            <w:shd w:val="clear" w:color="auto" w:fill="D9D9D9" w:themeFill="background1" w:themeFillShade="D9"/>
          </w:tcPr>
          <w:p w:rsidR="00F77A60" w:rsidRPr="00BC75B3" w:rsidRDefault="00F77A60" w:rsidP="00461223">
            <w:r w:rsidRPr="00BC75B3">
              <w:t>Contact details:</w:t>
            </w:r>
          </w:p>
        </w:tc>
        <w:tc>
          <w:tcPr>
            <w:tcW w:w="7088" w:type="dxa"/>
          </w:tcPr>
          <w:p w:rsidR="00F77A60" w:rsidRPr="00BC75B3" w:rsidRDefault="00E352E1" w:rsidP="00E352E1">
            <w:r>
              <w:t>fordad@s</w:t>
            </w:r>
            <w:r w:rsidR="00F77A60" w:rsidRPr="00BC75B3">
              <w:t>lab.org.uk</w:t>
            </w:r>
          </w:p>
        </w:tc>
      </w:tr>
    </w:tbl>
    <w:p w:rsidR="00F77A60" w:rsidRPr="00BC75B3" w:rsidRDefault="00F77A60" w:rsidP="00F77A60"/>
    <w:tbl>
      <w:tblPr>
        <w:tblStyle w:val="TableGrid"/>
        <w:tblW w:w="9493" w:type="dxa"/>
        <w:tblLook w:val="04A0" w:firstRow="1" w:lastRow="0" w:firstColumn="1" w:lastColumn="0" w:noHBand="0" w:noVBand="1"/>
      </w:tblPr>
      <w:tblGrid>
        <w:gridCol w:w="2405"/>
        <w:gridCol w:w="7088"/>
      </w:tblGrid>
      <w:tr w:rsidR="00BC75B3" w:rsidRPr="00BC75B3" w:rsidTr="00461223">
        <w:tc>
          <w:tcPr>
            <w:tcW w:w="9493" w:type="dxa"/>
            <w:gridSpan w:val="2"/>
            <w:shd w:val="clear" w:color="auto" w:fill="D9D9D9" w:themeFill="background1" w:themeFillShade="D9"/>
          </w:tcPr>
          <w:p w:rsidR="00F77A60" w:rsidRPr="00BC75B3" w:rsidRDefault="00F77A60" w:rsidP="00461223">
            <w:r w:rsidRPr="00BC75B3">
              <w:t>Delivery of Strategic Objectives</w:t>
            </w:r>
          </w:p>
        </w:tc>
      </w:tr>
      <w:tr w:rsidR="00BC75B3" w:rsidRPr="00BC75B3" w:rsidTr="00461223">
        <w:tc>
          <w:tcPr>
            <w:tcW w:w="2405" w:type="dxa"/>
          </w:tcPr>
          <w:p w:rsidR="00F77A60" w:rsidRPr="00BC75B3" w:rsidRDefault="00F77A60" w:rsidP="00461223">
            <w:r w:rsidRPr="00BC75B3">
              <w:t xml:space="preserve">Select the Strategic Objective(s) relevant to the issues </w:t>
            </w:r>
          </w:p>
        </w:tc>
        <w:tc>
          <w:tcPr>
            <w:tcW w:w="7088" w:type="dxa"/>
          </w:tcPr>
          <w:p w:rsidR="00321038" w:rsidRPr="00321038" w:rsidRDefault="00321038" w:rsidP="00321038">
            <w:pPr>
              <w:numPr>
                <w:ilvl w:val="0"/>
                <w:numId w:val="4"/>
              </w:numPr>
            </w:pPr>
            <w:r w:rsidRPr="00321038">
              <w:t>We deliver a high quality user focussed service</w:t>
            </w:r>
          </w:p>
          <w:p w:rsidR="00321038" w:rsidRPr="00321038" w:rsidRDefault="00321038" w:rsidP="00321038">
            <w:pPr>
              <w:numPr>
                <w:ilvl w:val="0"/>
                <w:numId w:val="4"/>
              </w:numPr>
            </w:pPr>
            <w:r w:rsidRPr="00321038">
              <w:t>We embed ways of working across the organisation that enhance the quality, consistency and transparency of our decisions and delivery</w:t>
            </w:r>
          </w:p>
          <w:p w:rsidR="00F77A60" w:rsidRPr="00BC75B3" w:rsidRDefault="00321038" w:rsidP="00202FE4">
            <w:pPr>
              <w:numPr>
                <w:ilvl w:val="0"/>
                <w:numId w:val="4"/>
              </w:numPr>
            </w:pPr>
            <w:r w:rsidRPr="00321038">
              <w:t>We engage with users and delivery partners across the legal aid and justice system to inform good design of our system and services</w:t>
            </w:r>
          </w:p>
        </w:tc>
      </w:tr>
      <w:tr w:rsidR="00BC75B3" w:rsidRPr="00BC75B3" w:rsidTr="00461223">
        <w:tc>
          <w:tcPr>
            <w:tcW w:w="9493" w:type="dxa"/>
            <w:gridSpan w:val="2"/>
          </w:tcPr>
          <w:p w:rsidR="00F77A60" w:rsidRPr="00BC75B3" w:rsidRDefault="00F77A60" w:rsidP="00E352E1">
            <w:r w:rsidRPr="00F51899">
              <w:t>The purpose of this paper is to report on operational performance as at</w:t>
            </w:r>
            <w:r w:rsidR="00BD1DF7">
              <w:t xml:space="preserve"> 31</w:t>
            </w:r>
            <w:r w:rsidR="00BD1DF7" w:rsidRPr="00BD1DF7">
              <w:rPr>
                <w:vertAlign w:val="superscript"/>
              </w:rPr>
              <w:t>st</w:t>
            </w:r>
            <w:r w:rsidR="00BD1DF7">
              <w:t xml:space="preserve"> </w:t>
            </w:r>
            <w:r w:rsidR="00222534">
              <w:t>Ma</w:t>
            </w:r>
            <w:r w:rsidR="00E352E1">
              <w:t>y</w:t>
            </w:r>
            <w:r w:rsidR="00202FE4">
              <w:t xml:space="preserve"> 2022</w:t>
            </w:r>
            <w:r w:rsidR="00DA3377">
              <w:t>.</w:t>
            </w:r>
          </w:p>
        </w:tc>
      </w:tr>
    </w:tbl>
    <w:p w:rsidR="00F77A60" w:rsidRPr="00BC75B3" w:rsidRDefault="00F77A60" w:rsidP="00F77A60"/>
    <w:tbl>
      <w:tblPr>
        <w:tblStyle w:val="TableGrid"/>
        <w:tblW w:w="9493" w:type="dxa"/>
        <w:tblLook w:val="04A0" w:firstRow="1" w:lastRow="0" w:firstColumn="1" w:lastColumn="0" w:noHBand="0" w:noVBand="1"/>
      </w:tblPr>
      <w:tblGrid>
        <w:gridCol w:w="9493"/>
      </w:tblGrid>
      <w:tr w:rsidR="00BC75B3" w:rsidRPr="00BC75B3" w:rsidTr="00461223">
        <w:tc>
          <w:tcPr>
            <w:tcW w:w="9493" w:type="dxa"/>
            <w:shd w:val="clear" w:color="auto" w:fill="D9D9D9" w:themeFill="background1" w:themeFillShade="D9"/>
          </w:tcPr>
          <w:p w:rsidR="00F77A60" w:rsidRPr="00BC75B3" w:rsidRDefault="00F77A60" w:rsidP="00461223">
            <w:r w:rsidRPr="00BC75B3">
              <w:t>Link to Board or Committee Remit</w:t>
            </w:r>
          </w:p>
        </w:tc>
      </w:tr>
      <w:tr w:rsidR="00F77A60" w:rsidRPr="00BC75B3" w:rsidTr="00461223">
        <w:tc>
          <w:tcPr>
            <w:tcW w:w="9493" w:type="dxa"/>
          </w:tcPr>
          <w:p w:rsidR="00F77A60" w:rsidRPr="00BC75B3" w:rsidRDefault="00F77A60" w:rsidP="00461223">
            <w:r w:rsidRPr="00BC75B3">
              <w:t xml:space="preserve">To </w:t>
            </w:r>
            <w:r w:rsidR="001919A6">
              <w:t>monitor the performance of the operational d</w:t>
            </w:r>
            <w:r w:rsidRPr="00BC75B3">
              <w:t>epartments.</w:t>
            </w:r>
          </w:p>
        </w:tc>
      </w:tr>
    </w:tbl>
    <w:p w:rsidR="00F77A60" w:rsidRPr="00BC75B3" w:rsidRDefault="00F77A60" w:rsidP="00F77A60"/>
    <w:tbl>
      <w:tblPr>
        <w:tblStyle w:val="TableGrid"/>
        <w:tblW w:w="9493" w:type="dxa"/>
        <w:tblLook w:val="04A0" w:firstRow="1" w:lastRow="0" w:firstColumn="1" w:lastColumn="0" w:noHBand="0" w:noVBand="1"/>
      </w:tblPr>
      <w:tblGrid>
        <w:gridCol w:w="9493"/>
      </w:tblGrid>
      <w:tr w:rsidR="00BC75B3" w:rsidRPr="00BC75B3" w:rsidTr="00461223">
        <w:tc>
          <w:tcPr>
            <w:tcW w:w="9493" w:type="dxa"/>
            <w:shd w:val="clear" w:color="auto" w:fill="D9D9D9" w:themeFill="background1" w:themeFillShade="D9"/>
          </w:tcPr>
          <w:p w:rsidR="00F77A60" w:rsidRPr="00BC75B3" w:rsidRDefault="00F77A60" w:rsidP="00461223">
            <w:r w:rsidRPr="00BC75B3">
              <w:t>Publication of the Paper</w:t>
            </w:r>
          </w:p>
        </w:tc>
      </w:tr>
      <w:tr w:rsidR="00F77A60" w:rsidRPr="00BC75B3" w:rsidTr="00461223">
        <w:tc>
          <w:tcPr>
            <w:tcW w:w="9493" w:type="dxa"/>
          </w:tcPr>
          <w:p w:rsidR="00F77A60" w:rsidRPr="00BC75B3" w:rsidRDefault="00F77A60" w:rsidP="0022115A">
            <w:r w:rsidRPr="00BC75B3">
              <w:t>The Board has previously agreed that this paper should be published as a matter of course.  It will be published on our website in due course.</w:t>
            </w:r>
          </w:p>
        </w:tc>
      </w:tr>
    </w:tbl>
    <w:p w:rsidR="00F77A60" w:rsidRPr="00BC75B3" w:rsidRDefault="00F77A60" w:rsidP="00F77A60"/>
    <w:tbl>
      <w:tblPr>
        <w:tblStyle w:val="TableGrid"/>
        <w:tblW w:w="9493" w:type="dxa"/>
        <w:tblLook w:val="04A0" w:firstRow="1" w:lastRow="0" w:firstColumn="1" w:lastColumn="0" w:noHBand="0" w:noVBand="1"/>
      </w:tblPr>
      <w:tblGrid>
        <w:gridCol w:w="9493"/>
      </w:tblGrid>
      <w:tr w:rsidR="00BC75B3" w:rsidRPr="00BC75B3" w:rsidTr="00461223">
        <w:tc>
          <w:tcPr>
            <w:tcW w:w="9493" w:type="dxa"/>
            <w:tcBorders>
              <w:left w:val="single" w:sz="4" w:space="0" w:color="000000"/>
            </w:tcBorders>
            <w:shd w:val="clear" w:color="auto" w:fill="D9D9D9" w:themeFill="background1" w:themeFillShade="D9"/>
          </w:tcPr>
          <w:p w:rsidR="00F77A60" w:rsidRPr="00BC75B3" w:rsidRDefault="00F77A60" w:rsidP="00461223">
            <w:r w:rsidRPr="00BC75B3">
              <w:t>Executive Summary</w:t>
            </w:r>
          </w:p>
        </w:tc>
      </w:tr>
      <w:tr w:rsidR="00F77A60" w:rsidRPr="00BC75B3" w:rsidTr="00461223">
        <w:tc>
          <w:tcPr>
            <w:tcW w:w="9493" w:type="dxa"/>
            <w:tcBorders>
              <w:left w:val="single" w:sz="4" w:space="0" w:color="000000"/>
            </w:tcBorders>
          </w:tcPr>
          <w:p w:rsidR="00F77A60" w:rsidRDefault="00F77A60" w:rsidP="00461223">
            <w:r w:rsidRPr="00283516">
              <w:t>Members should note that the figures reported</w:t>
            </w:r>
            <w:r w:rsidR="007645F1">
              <w:t xml:space="preserve"> </w:t>
            </w:r>
            <w:r w:rsidR="00F51899" w:rsidRPr="00283516">
              <w:t xml:space="preserve">are </w:t>
            </w:r>
            <w:r w:rsidRPr="00283516">
              <w:t xml:space="preserve">a three month average i.e. reflect the position for </w:t>
            </w:r>
            <w:r w:rsidR="00E352E1">
              <w:t>March</w:t>
            </w:r>
            <w:r w:rsidR="00222534">
              <w:t>,</w:t>
            </w:r>
            <w:r w:rsidR="00E352E1">
              <w:t xml:space="preserve"> April &amp; May </w:t>
            </w:r>
            <w:r w:rsidR="00222534">
              <w:t>2022 as</w:t>
            </w:r>
            <w:r w:rsidRPr="00283516">
              <w:t xml:space="preserve"> a whole. </w:t>
            </w:r>
          </w:p>
          <w:p w:rsidR="00283516" w:rsidRPr="00BE0BE8" w:rsidRDefault="00283516" w:rsidP="00461223">
            <w:pPr>
              <w:rPr>
                <w:color w:val="FF0000"/>
              </w:rPr>
            </w:pPr>
          </w:p>
          <w:p w:rsidR="00F77A60" w:rsidRPr="002249E1" w:rsidRDefault="00F77A60" w:rsidP="00461223">
            <w:r w:rsidRPr="002249E1">
              <w:t>Applications – The performance ac</w:t>
            </w:r>
            <w:r w:rsidR="0018144C" w:rsidRPr="002249E1">
              <w:t>ross Applications</w:t>
            </w:r>
            <w:r w:rsidRPr="002249E1">
              <w:t xml:space="preserve"> was good and there are no particular concerns or issues to highlight.</w:t>
            </w:r>
          </w:p>
          <w:p w:rsidR="004D7E09" w:rsidRPr="00E352E1" w:rsidRDefault="004D7E09" w:rsidP="00461223">
            <w:pPr>
              <w:rPr>
                <w:color w:val="FF0000"/>
              </w:rPr>
            </w:pPr>
          </w:p>
          <w:p w:rsidR="00222534" w:rsidRPr="00F44617" w:rsidRDefault="004D7E09" w:rsidP="0022115A">
            <w:pPr>
              <w:rPr>
                <w:color w:val="00B0F0"/>
                <w:szCs w:val="24"/>
              </w:rPr>
            </w:pPr>
            <w:r w:rsidRPr="0022115A">
              <w:t>Accounts –</w:t>
            </w:r>
            <w:r w:rsidR="00355AFA" w:rsidRPr="0022115A">
              <w:t xml:space="preserve"> </w:t>
            </w:r>
            <w:r w:rsidR="0022115A" w:rsidRPr="00666FD3">
              <w:rPr>
                <w:color w:val="000000" w:themeColor="text1"/>
              </w:rPr>
              <w:t>Performance continues to remain in line with our expectations.</w:t>
            </w:r>
            <w:r w:rsidR="0022115A">
              <w:rPr>
                <w:color w:val="000000" w:themeColor="text1"/>
              </w:rPr>
              <w:t xml:space="preserve"> </w:t>
            </w:r>
          </w:p>
        </w:tc>
      </w:tr>
    </w:tbl>
    <w:p w:rsidR="00086616" w:rsidRPr="00BC75B3" w:rsidRDefault="00086616" w:rsidP="00F77A60"/>
    <w:tbl>
      <w:tblPr>
        <w:tblStyle w:val="TableGrid"/>
        <w:tblW w:w="9493" w:type="dxa"/>
        <w:tblLook w:val="04A0" w:firstRow="1" w:lastRow="0" w:firstColumn="1" w:lastColumn="0" w:noHBand="0" w:noVBand="1"/>
      </w:tblPr>
      <w:tblGrid>
        <w:gridCol w:w="2410"/>
        <w:gridCol w:w="6912"/>
        <w:gridCol w:w="171"/>
      </w:tblGrid>
      <w:tr w:rsidR="00BC75B3" w:rsidRPr="00BC75B3" w:rsidTr="0022115A">
        <w:tc>
          <w:tcPr>
            <w:tcW w:w="9493" w:type="dxa"/>
            <w:gridSpan w:val="3"/>
            <w:tcBorders>
              <w:left w:val="single" w:sz="4" w:space="0" w:color="000000"/>
            </w:tcBorders>
            <w:shd w:val="clear" w:color="auto" w:fill="D9D9D9" w:themeFill="background1" w:themeFillShade="D9"/>
          </w:tcPr>
          <w:p w:rsidR="00F77A60" w:rsidRPr="00BC75B3" w:rsidRDefault="00F77A60" w:rsidP="00461223">
            <w:r w:rsidRPr="00BC75B3">
              <w:t xml:space="preserve">Previous Consideration </w:t>
            </w:r>
          </w:p>
        </w:tc>
      </w:tr>
      <w:tr w:rsidR="00BC75B3" w:rsidRPr="00BC75B3" w:rsidTr="0022115A">
        <w:tc>
          <w:tcPr>
            <w:tcW w:w="2410" w:type="dxa"/>
            <w:tcBorders>
              <w:left w:val="single" w:sz="4" w:space="0" w:color="000000"/>
            </w:tcBorders>
            <w:shd w:val="clear" w:color="auto" w:fill="D9D9D9" w:themeFill="background1" w:themeFillShade="D9"/>
          </w:tcPr>
          <w:p w:rsidR="00F77A60" w:rsidRPr="00BC75B3" w:rsidRDefault="00F77A60" w:rsidP="00461223">
            <w:r w:rsidRPr="00BC75B3">
              <w:t>Meeting</w:t>
            </w:r>
          </w:p>
        </w:tc>
        <w:tc>
          <w:tcPr>
            <w:tcW w:w="7083" w:type="dxa"/>
            <w:gridSpan w:val="2"/>
            <w:tcBorders>
              <w:left w:val="single" w:sz="4" w:space="0" w:color="000000"/>
            </w:tcBorders>
            <w:shd w:val="clear" w:color="auto" w:fill="D9D9D9" w:themeFill="background1" w:themeFillShade="D9"/>
          </w:tcPr>
          <w:p w:rsidR="00F77A60" w:rsidRPr="00BC75B3" w:rsidRDefault="00F77A60" w:rsidP="00461223">
            <w:r w:rsidRPr="00BC75B3">
              <w:t>Detail</w:t>
            </w:r>
          </w:p>
        </w:tc>
      </w:tr>
      <w:tr w:rsidR="00F77A60" w:rsidRPr="009A4FB2" w:rsidTr="0022115A">
        <w:tc>
          <w:tcPr>
            <w:tcW w:w="2410" w:type="dxa"/>
            <w:tcBorders>
              <w:left w:val="single" w:sz="4" w:space="0" w:color="000000"/>
            </w:tcBorders>
          </w:tcPr>
          <w:p w:rsidR="00F77A60" w:rsidRPr="009A4FB2" w:rsidRDefault="00E352E1" w:rsidP="00E352E1">
            <w:pPr>
              <w:rPr>
                <w:color w:val="000000" w:themeColor="text1"/>
              </w:rPr>
            </w:pPr>
            <w:r>
              <w:rPr>
                <w:color w:val="000000" w:themeColor="text1"/>
              </w:rPr>
              <w:t>16</w:t>
            </w:r>
            <w:r w:rsidRPr="00E352E1">
              <w:rPr>
                <w:color w:val="000000" w:themeColor="text1"/>
                <w:vertAlign w:val="superscript"/>
              </w:rPr>
              <w:t>th</w:t>
            </w:r>
            <w:r>
              <w:rPr>
                <w:color w:val="000000" w:themeColor="text1"/>
              </w:rPr>
              <w:t xml:space="preserve"> May</w:t>
            </w:r>
            <w:r w:rsidR="00222534">
              <w:rPr>
                <w:color w:val="000000" w:themeColor="text1"/>
              </w:rPr>
              <w:t xml:space="preserve"> 2022</w:t>
            </w:r>
          </w:p>
        </w:tc>
        <w:tc>
          <w:tcPr>
            <w:tcW w:w="7083" w:type="dxa"/>
            <w:gridSpan w:val="2"/>
            <w:tcBorders>
              <w:left w:val="single" w:sz="4" w:space="0" w:color="000000"/>
            </w:tcBorders>
          </w:tcPr>
          <w:p w:rsidR="00E352E1" w:rsidRPr="00BA64C2" w:rsidRDefault="00E352E1" w:rsidP="00E352E1">
            <w:r w:rsidRPr="004937CF">
              <w:t xml:space="preserve">Applications </w:t>
            </w:r>
            <w:r w:rsidRPr="00BA64C2">
              <w:t>– The performance across Applications was good and there are no particular concerns or issues to highlight.</w:t>
            </w:r>
          </w:p>
          <w:p w:rsidR="00E352E1" w:rsidRPr="00BA64C2" w:rsidRDefault="00E352E1" w:rsidP="00E352E1"/>
          <w:p w:rsidR="00F77A60" w:rsidRPr="009A4FB2" w:rsidRDefault="00E352E1" w:rsidP="0022115A">
            <w:pPr>
              <w:rPr>
                <w:color w:val="000000" w:themeColor="text1"/>
              </w:rPr>
            </w:pPr>
            <w:r w:rsidRPr="00223EA9">
              <w:rPr>
                <w:color w:val="000000" w:themeColor="text1"/>
              </w:rPr>
              <w:t>Accounts –</w:t>
            </w:r>
            <w:r>
              <w:rPr>
                <w:color w:val="000000" w:themeColor="text1"/>
              </w:rPr>
              <w:t xml:space="preserve"> </w:t>
            </w:r>
            <w:r w:rsidRPr="005A4AE7">
              <w:rPr>
                <w:color w:val="000000" w:themeColor="text1"/>
              </w:rPr>
              <w:t xml:space="preserve">Performance remains </w:t>
            </w:r>
            <w:r>
              <w:rPr>
                <w:color w:val="000000" w:themeColor="text1"/>
              </w:rPr>
              <w:t xml:space="preserve">in line with our expectations. </w:t>
            </w:r>
          </w:p>
        </w:tc>
      </w:tr>
      <w:tr w:rsidR="00BC75B3" w:rsidRPr="00BC75B3" w:rsidTr="0022115A">
        <w:trPr>
          <w:gridAfter w:val="1"/>
          <w:wAfter w:w="171" w:type="dxa"/>
        </w:trPr>
        <w:tc>
          <w:tcPr>
            <w:tcW w:w="9322" w:type="dxa"/>
            <w:gridSpan w:val="2"/>
            <w:shd w:val="clear" w:color="auto" w:fill="D9D9D9" w:themeFill="background1" w:themeFillShade="D9"/>
          </w:tcPr>
          <w:p w:rsidR="00F77A60" w:rsidRPr="00BC75B3" w:rsidRDefault="00F77A60" w:rsidP="00461223">
            <w:r w:rsidRPr="00BC75B3">
              <w:lastRenderedPageBreak/>
              <w:t>Report</w:t>
            </w:r>
          </w:p>
        </w:tc>
      </w:tr>
    </w:tbl>
    <w:p w:rsidR="00F77A60" w:rsidRPr="00F77A60" w:rsidRDefault="00F77A60" w:rsidP="00F77A60">
      <w:pPr>
        <w:rPr>
          <w:color w:val="FF0000"/>
        </w:rPr>
      </w:pPr>
    </w:p>
    <w:p w:rsidR="00F77A60" w:rsidRPr="001D5482" w:rsidRDefault="00F77A60" w:rsidP="006411AF">
      <w:pPr>
        <w:spacing w:after="120"/>
        <w:rPr>
          <w:b/>
        </w:rPr>
      </w:pPr>
      <w:r w:rsidRPr="001D5482">
        <w:rPr>
          <w:b/>
        </w:rPr>
        <w:t>Applications Performance</w:t>
      </w:r>
    </w:p>
    <w:p w:rsidR="00F77A60" w:rsidRDefault="00F77A60" w:rsidP="00754ED7">
      <w:pPr>
        <w:pStyle w:val="ListParagraph"/>
        <w:numPr>
          <w:ilvl w:val="0"/>
          <w:numId w:val="3"/>
        </w:numPr>
        <w:spacing w:after="120"/>
      </w:pPr>
      <w:r w:rsidRPr="00753411">
        <w:t>Civil Applications</w:t>
      </w:r>
    </w:p>
    <w:p w:rsidR="00754ED7" w:rsidRPr="00175C59" w:rsidRDefault="00754ED7" w:rsidP="00754ED7">
      <w:pPr>
        <w:spacing w:after="120"/>
        <w:rPr>
          <w:szCs w:val="24"/>
        </w:rPr>
      </w:pPr>
      <w:r w:rsidRPr="00175C59">
        <w:rPr>
          <w:szCs w:val="24"/>
        </w:rPr>
        <w:t xml:space="preserve">The overall performance in civil applications is very good with all civil benchmarks recorded as “better than”.  </w:t>
      </w:r>
    </w:p>
    <w:p w:rsidR="00F77A60" w:rsidRDefault="00F77A60" w:rsidP="006411AF">
      <w:pPr>
        <w:pStyle w:val="ListParagraph"/>
        <w:numPr>
          <w:ilvl w:val="0"/>
          <w:numId w:val="3"/>
        </w:numPr>
        <w:spacing w:after="120"/>
      </w:pPr>
      <w:r w:rsidRPr="00603164">
        <w:t>Criminal Applications</w:t>
      </w:r>
    </w:p>
    <w:p w:rsidR="00B30460" w:rsidRPr="002249E1" w:rsidRDefault="00B30460" w:rsidP="00B30460">
      <w:pPr>
        <w:rPr>
          <w:szCs w:val="24"/>
        </w:rPr>
      </w:pPr>
      <w:r w:rsidRPr="002249E1">
        <w:rPr>
          <w:szCs w:val="24"/>
        </w:rPr>
        <w:t xml:space="preserve">Overall, performance remains good with most areas either meeting or exceeding the benchmarks for average durations, % grants, and % of further work cases. However, recent issues have arisen in the % of Further Work cases,  and the % of First decisions granted in solemn applications.  The Further Work benchmark is 9%.  The March figure was 10.1%, the April figure was 10.9%, and the May figure was 11.6%.  </w:t>
      </w:r>
    </w:p>
    <w:p w:rsidR="00B30460" w:rsidRPr="002249E1" w:rsidRDefault="00B30460" w:rsidP="00B30460">
      <w:pPr>
        <w:rPr>
          <w:szCs w:val="24"/>
        </w:rPr>
      </w:pPr>
    </w:p>
    <w:p w:rsidR="00B30460" w:rsidRPr="002249E1" w:rsidRDefault="00B30460" w:rsidP="00B30460">
      <w:pPr>
        <w:rPr>
          <w:szCs w:val="24"/>
        </w:rPr>
      </w:pPr>
      <w:r w:rsidRPr="002249E1">
        <w:rPr>
          <w:szCs w:val="24"/>
        </w:rPr>
        <w:t xml:space="preserve">We have </w:t>
      </w:r>
      <w:r w:rsidR="00E44750">
        <w:rPr>
          <w:szCs w:val="24"/>
        </w:rPr>
        <w:t xml:space="preserve">reviewed </w:t>
      </w:r>
      <w:r w:rsidRPr="002249E1">
        <w:rPr>
          <w:szCs w:val="24"/>
        </w:rPr>
        <w:t>the ca</w:t>
      </w:r>
      <w:r w:rsidR="00E44750">
        <w:rPr>
          <w:szCs w:val="24"/>
        </w:rPr>
        <w:t>ses which contributed to this which are ‘</w:t>
      </w:r>
      <w:r w:rsidRPr="002249E1">
        <w:rPr>
          <w:szCs w:val="24"/>
        </w:rPr>
        <w:t>Not Considered</w:t>
      </w:r>
      <w:r w:rsidR="00E44750">
        <w:rPr>
          <w:szCs w:val="24"/>
        </w:rPr>
        <w:t>’</w:t>
      </w:r>
      <w:r w:rsidRPr="002249E1">
        <w:rPr>
          <w:szCs w:val="24"/>
        </w:rPr>
        <w:t xml:space="preserve"> cases com</w:t>
      </w:r>
      <w:r w:rsidR="00E44750">
        <w:rPr>
          <w:szCs w:val="24"/>
        </w:rPr>
        <w:t>ing back to us.  This is</w:t>
      </w:r>
      <w:r w:rsidRPr="002249E1">
        <w:rPr>
          <w:szCs w:val="24"/>
        </w:rPr>
        <w:t xml:space="preserve"> where additional information was not sent to us at the time, but has now been sent in weeks or, in some cases, months later.  We believe that this is as a result of coming out of lockdown, with more cases now progressing in the courts now.  This also contributed to the reduced % figure of First Decisions granted in May (82.9% compared to the 85% benchmark).</w:t>
      </w:r>
    </w:p>
    <w:p w:rsidR="00B30460" w:rsidRPr="002249E1" w:rsidRDefault="00B30460" w:rsidP="00B30460">
      <w:pPr>
        <w:pStyle w:val="ListParagraph"/>
        <w:ind w:left="360"/>
        <w:rPr>
          <w:szCs w:val="24"/>
        </w:rPr>
      </w:pPr>
    </w:p>
    <w:p w:rsidR="00B30460" w:rsidRPr="002249E1" w:rsidRDefault="00B30460" w:rsidP="00B30460">
      <w:pPr>
        <w:rPr>
          <w:szCs w:val="24"/>
        </w:rPr>
      </w:pPr>
      <w:r w:rsidRPr="002249E1">
        <w:rPr>
          <w:szCs w:val="24"/>
        </w:rPr>
        <w:t>At this stage, we believe we should be accepting these late answers to continuations rather than getting the solicitors to submit fresh legal aid applications.  We will continue</w:t>
      </w:r>
      <w:r w:rsidRPr="002249E1">
        <w:t xml:space="preserve"> to </w:t>
      </w:r>
      <w:r w:rsidR="00E44750">
        <w:t>monitor</w:t>
      </w:r>
      <w:r w:rsidRPr="002249E1">
        <w:rPr>
          <w:szCs w:val="24"/>
        </w:rPr>
        <w:t xml:space="preserve"> these cases.</w:t>
      </w:r>
    </w:p>
    <w:p w:rsidR="006E02E5" w:rsidRPr="006E02E5" w:rsidRDefault="006E02E5" w:rsidP="006E02E5">
      <w:pPr>
        <w:rPr>
          <w:color w:val="FF0000"/>
          <w:szCs w:val="24"/>
        </w:rPr>
      </w:pPr>
    </w:p>
    <w:p w:rsidR="00F77A60" w:rsidRPr="00753411" w:rsidRDefault="00F77A60" w:rsidP="006411AF">
      <w:pPr>
        <w:pStyle w:val="ListParagraph"/>
        <w:numPr>
          <w:ilvl w:val="0"/>
          <w:numId w:val="3"/>
        </w:numPr>
        <w:spacing w:after="120"/>
      </w:pPr>
      <w:r w:rsidRPr="00753411">
        <w:t>Children’s Applications</w:t>
      </w:r>
    </w:p>
    <w:p w:rsidR="00754ED7" w:rsidRDefault="00754ED7" w:rsidP="00754ED7">
      <w:pPr>
        <w:spacing w:after="120"/>
        <w:rPr>
          <w:szCs w:val="24"/>
        </w:rPr>
      </w:pPr>
      <w:r w:rsidRPr="00175C59">
        <w:rPr>
          <w:szCs w:val="24"/>
        </w:rPr>
        <w:t xml:space="preserve">The overall performance of children’s applications is good.   </w:t>
      </w:r>
    </w:p>
    <w:p w:rsidR="0022115A" w:rsidRPr="00175C59" w:rsidRDefault="0022115A" w:rsidP="00754ED7">
      <w:pPr>
        <w:spacing w:after="120"/>
        <w:rPr>
          <w:szCs w:val="24"/>
        </w:rPr>
      </w:pPr>
    </w:p>
    <w:p w:rsidR="00826B72" w:rsidRDefault="00826B72" w:rsidP="006411AF">
      <w:pPr>
        <w:spacing w:after="120"/>
        <w:rPr>
          <w:b/>
          <w:szCs w:val="24"/>
        </w:rPr>
      </w:pPr>
      <w:r w:rsidRPr="006924F1">
        <w:rPr>
          <w:b/>
          <w:szCs w:val="24"/>
        </w:rPr>
        <w:t>Accounts Performance</w:t>
      </w:r>
    </w:p>
    <w:p w:rsidR="00866D6E" w:rsidRDefault="00866D6E" w:rsidP="00866D6E">
      <w:pPr>
        <w:pStyle w:val="ListParagraph"/>
        <w:numPr>
          <w:ilvl w:val="0"/>
          <w:numId w:val="3"/>
        </w:numPr>
        <w:spacing w:after="120"/>
        <w:rPr>
          <w:color w:val="000000" w:themeColor="text1"/>
          <w:szCs w:val="24"/>
        </w:rPr>
      </w:pPr>
      <w:r w:rsidRPr="002E5408">
        <w:rPr>
          <w:color w:val="000000" w:themeColor="text1"/>
          <w:szCs w:val="24"/>
        </w:rPr>
        <w:t xml:space="preserve">Civil Accounts </w:t>
      </w:r>
    </w:p>
    <w:p w:rsidR="0022115A" w:rsidRDefault="0022115A" w:rsidP="0022115A">
      <w:pPr>
        <w:spacing w:after="120"/>
        <w:rPr>
          <w:color w:val="000000" w:themeColor="text1"/>
          <w:szCs w:val="24"/>
        </w:rPr>
      </w:pPr>
      <w:r>
        <w:rPr>
          <w:color w:val="000000" w:themeColor="text1"/>
          <w:szCs w:val="24"/>
        </w:rPr>
        <w:t>As reported in previous papers there had been resourcing issues within the teams which have now been addressed. As anticipated this has impacted the performance (with two of the indicators moving from ‘better than’ to ‘met’ and two being ‘worse than’) and we anticipate it will take several months before we are in a position where we see the positive impacts of the new resources.</w:t>
      </w:r>
    </w:p>
    <w:p w:rsidR="0022115A" w:rsidRDefault="0022115A" w:rsidP="0022115A">
      <w:pPr>
        <w:spacing w:after="120"/>
        <w:rPr>
          <w:color w:val="000000" w:themeColor="text1"/>
          <w:szCs w:val="24"/>
        </w:rPr>
      </w:pPr>
      <w:r>
        <w:rPr>
          <w:color w:val="000000" w:themeColor="text1"/>
          <w:szCs w:val="24"/>
        </w:rPr>
        <w:t>On a positive note, despite the increased pressures on the remaining staff over this period, the accuracy levels have been maintained at a very good level.</w:t>
      </w:r>
    </w:p>
    <w:p w:rsidR="00F67C50" w:rsidRPr="00E352E1" w:rsidRDefault="00F67C50" w:rsidP="00F67C50">
      <w:pPr>
        <w:spacing w:after="120"/>
        <w:rPr>
          <w:color w:val="0070C0"/>
          <w:szCs w:val="24"/>
          <w:highlight w:val="yellow"/>
        </w:rPr>
      </w:pPr>
    </w:p>
    <w:p w:rsidR="00866D6E" w:rsidRDefault="00866D6E" w:rsidP="00866D6E">
      <w:pPr>
        <w:pStyle w:val="ListParagraph"/>
        <w:numPr>
          <w:ilvl w:val="0"/>
          <w:numId w:val="3"/>
        </w:numPr>
        <w:spacing w:after="120"/>
        <w:rPr>
          <w:color w:val="000000" w:themeColor="text1"/>
          <w:szCs w:val="24"/>
        </w:rPr>
      </w:pPr>
      <w:r w:rsidRPr="00D473B0">
        <w:rPr>
          <w:color w:val="000000" w:themeColor="text1"/>
          <w:szCs w:val="24"/>
        </w:rPr>
        <w:t xml:space="preserve">Criminal Accounts </w:t>
      </w:r>
    </w:p>
    <w:p w:rsidR="0022115A" w:rsidRPr="00F67C50" w:rsidRDefault="0022115A" w:rsidP="0022115A">
      <w:pPr>
        <w:spacing w:after="120"/>
        <w:rPr>
          <w:color w:val="000000" w:themeColor="text1"/>
          <w:szCs w:val="24"/>
        </w:rPr>
      </w:pPr>
      <w:r w:rsidRPr="00F67C50">
        <w:rPr>
          <w:color w:val="000000" w:themeColor="text1"/>
          <w:szCs w:val="24"/>
        </w:rPr>
        <w:t>The overall performance in criminal accounts is good with performance against all indicators either ‘met’ or ‘better than’ the benchmark.</w:t>
      </w:r>
    </w:p>
    <w:p w:rsidR="0022115A" w:rsidRDefault="0022115A" w:rsidP="004660D2">
      <w:pPr>
        <w:spacing w:after="120"/>
        <w:rPr>
          <w:color w:val="000000" w:themeColor="text1"/>
          <w:szCs w:val="24"/>
        </w:rPr>
      </w:pPr>
      <w:bookmarkStart w:id="0" w:name="_GoBack"/>
      <w:bookmarkEnd w:id="0"/>
    </w:p>
    <w:p w:rsidR="00866D6E" w:rsidRPr="00E352E1" w:rsidRDefault="00866D6E" w:rsidP="00866D6E">
      <w:pPr>
        <w:pStyle w:val="ListParagraph"/>
        <w:numPr>
          <w:ilvl w:val="0"/>
          <w:numId w:val="3"/>
        </w:numPr>
        <w:spacing w:after="120"/>
      </w:pPr>
      <w:r w:rsidRPr="00E352E1">
        <w:rPr>
          <w:szCs w:val="24"/>
        </w:rPr>
        <w:t xml:space="preserve">Children’s Accounts </w:t>
      </w:r>
    </w:p>
    <w:p w:rsidR="00F67C50" w:rsidRPr="00E352E1" w:rsidRDefault="00F67C50" w:rsidP="00F67C50">
      <w:pPr>
        <w:spacing w:after="120"/>
        <w:rPr>
          <w:color w:val="0070C0"/>
        </w:rPr>
      </w:pPr>
      <w:r w:rsidRPr="0022115A">
        <w:rPr>
          <w:szCs w:val="24"/>
        </w:rPr>
        <w:lastRenderedPageBreak/>
        <w:t xml:space="preserve">The </w:t>
      </w:r>
      <w:r w:rsidR="0022115A" w:rsidRPr="00F67C50">
        <w:rPr>
          <w:color w:val="000000" w:themeColor="text1"/>
          <w:szCs w:val="24"/>
        </w:rPr>
        <w:t>overall performance of children’s accounts is good</w:t>
      </w:r>
      <w:r w:rsidR="0022115A">
        <w:rPr>
          <w:color w:val="000000" w:themeColor="text1"/>
          <w:szCs w:val="24"/>
        </w:rPr>
        <w:t xml:space="preserve">. However, </w:t>
      </w:r>
      <w:r w:rsidR="0022115A" w:rsidRPr="00F67C50">
        <w:rPr>
          <w:color w:val="000000" w:themeColor="text1"/>
          <w:szCs w:val="24"/>
        </w:rPr>
        <w:t xml:space="preserve">negotiations </w:t>
      </w:r>
      <w:r w:rsidR="0022115A">
        <w:rPr>
          <w:color w:val="000000" w:themeColor="text1"/>
          <w:szCs w:val="24"/>
        </w:rPr>
        <w:t>is</w:t>
      </w:r>
      <w:r w:rsidR="0022115A" w:rsidRPr="00F67C50">
        <w:rPr>
          <w:color w:val="000000" w:themeColor="text1"/>
          <w:szCs w:val="24"/>
        </w:rPr>
        <w:t xml:space="preserve"> being reported as ‘worse than’ the benchmark due to a small number of accounts where firms have been slow in responding to us</w:t>
      </w:r>
      <w:r w:rsidR="0022115A" w:rsidRPr="00F67C50">
        <w:rPr>
          <w:color w:val="000000" w:themeColor="text1"/>
        </w:rPr>
        <w:t>.</w:t>
      </w:r>
      <w:r w:rsidR="0022115A">
        <w:rPr>
          <w:color w:val="000000" w:themeColor="text1"/>
        </w:rPr>
        <w:t xml:space="preserve"> This is more likely to impact in children’s where we have smaller volumes of accounts, meaning the rolling position is impacted although in this rolling three month period despite two of the three months having ‘met’ the benchmark.</w:t>
      </w:r>
    </w:p>
    <w:p w:rsidR="00866D6E" w:rsidRDefault="00866D6E" w:rsidP="00866D6E">
      <w:pPr>
        <w:spacing w:after="120"/>
        <w:rPr>
          <w:color w:val="000000" w:themeColor="text1"/>
        </w:rPr>
      </w:pPr>
    </w:p>
    <w:p w:rsidR="0088718D" w:rsidRPr="0088718D" w:rsidRDefault="0088718D" w:rsidP="0042254A">
      <w:pPr>
        <w:spacing w:after="120"/>
        <w:rPr>
          <w:color w:val="000000" w:themeColor="text1"/>
        </w:rPr>
        <w:sectPr w:rsidR="0088718D" w:rsidRPr="0088718D" w:rsidSect="006411AF">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18" w:left="1276" w:header="680" w:footer="624" w:gutter="0"/>
          <w:cols w:sep="1" w:space="720"/>
          <w:titlePg/>
          <w:docGrid w:linePitch="360"/>
        </w:sectPr>
      </w:pPr>
    </w:p>
    <w:p w:rsidR="002D51CA" w:rsidRDefault="002D51CA" w:rsidP="00F77A60">
      <w:pPr>
        <w:spacing w:before="100" w:beforeAutospacing="1" w:after="100" w:afterAutospacing="1"/>
      </w:pPr>
    </w:p>
    <w:p w:rsidR="002D51CA" w:rsidRDefault="00B0769E">
      <w:pPr>
        <w:spacing w:before="100" w:beforeAutospacing="1" w:after="100" w:afterAutospacing="1"/>
      </w:pPr>
      <w:r w:rsidRPr="00B0769E">
        <w:rPr>
          <w:noProof/>
          <w:lang w:eastAsia="en-GB"/>
        </w:rPr>
        <w:drawing>
          <wp:inline distT="0" distB="0" distL="0" distR="0">
            <wp:extent cx="9166852" cy="4514297"/>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71475" cy="4516574"/>
                    </a:xfrm>
                    <a:prstGeom prst="rect">
                      <a:avLst/>
                    </a:prstGeom>
                    <a:noFill/>
                    <a:ln>
                      <a:noFill/>
                    </a:ln>
                  </pic:spPr>
                </pic:pic>
              </a:graphicData>
            </a:graphic>
          </wp:inline>
        </w:drawing>
      </w:r>
    </w:p>
    <w:p w:rsidR="002D51CA" w:rsidRDefault="00B0769E" w:rsidP="00F45F5E">
      <w:pPr>
        <w:spacing w:before="100" w:beforeAutospacing="1" w:after="100" w:afterAutospacing="1"/>
        <w:jc w:val="center"/>
        <w:rPr>
          <w:noProof/>
          <w:lang w:eastAsia="en-GB"/>
        </w:rPr>
      </w:pPr>
      <w:r w:rsidRPr="00B0769E">
        <w:rPr>
          <w:noProof/>
          <w:lang w:eastAsia="en-GB"/>
        </w:rPr>
        <w:lastRenderedPageBreak/>
        <w:drawing>
          <wp:inline distT="0" distB="0" distL="0" distR="0">
            <wp:extent cx="8630286" cy="64096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35408" cy="6413494"/>
                    </a:xfrm>
                    <a:prstGeom prst="rect">
                      <a:avLst/>
                    </a:prstGeom>
                    <a:noFill/>
                    <a:ln>
                      <a:noFill/>
                    </a:ln>
                  </pic:spPr>
                </pic:pic>
              </a:graphicData>
            </a:graphic>
          </wp:inline>
        </w:drawing>
      </w:r>
    </w:p>
    <w:p w:rsidR="002D51CA" w:rsidRPr="00362F68" w:rsidRDefault="002D51CA" w:rsidP="00F45F5E">
      <w:pPr>
        <w:spacing w:before="100" w:beforeAutospacing="1" w:after="100" w:afterAutospacing="1"/>
        <w:jc w:val="center"/>
        <w:sectPr w:rsidR="002D51CA" w:rsidRPr="00362F68" w:rsidSect="008E61BE">
          <w:headerReference w:type="even" r:id="rId17"/>
          <w:headerReference w:type="default" r:id="rId18"/>
          <w:footerReference w:type="even" r:id="rId19"/>
          <w:footerReference w:type="default" r:id="rId20"/>
          <w:headerReference w:type="first" r:id="rId21"/>
          <w:footerReference w:type="first" r:id="rId22"/>
          <w:pgSz w:w="16838" w:h="11906" w:orient="landscape"/>
          <w:pgMar w:top="426" w:right="820" w:bottom="851" w:left="993" w:header="680" w:footer="624" w:gutter="0"/>
          <w:cols w:sep="1" w:space="720"/>
          <w:docGrid w:linePitch="360"/>
        </w:sectPr>
      </w:pPr>
    </w:p>
    <w:p w:rsidR="00F77A60" w:rsidRDefault="00F77A60" w:rsidP="00F77A60"/>
    <w:p w:rsidR="00F77A60" w:rsidRDefault="00F77A60" w:rsidP="00F77A60"/>
    <w:tbl>
      <w:tblPr>
        <w:tblStyle w:val="TableGrid"/>
        <w:tblW w:w="9754" w:type="dxa"/>
        <w:tblLook w:val="04A0" w:firstRow="1" w:lastRow="0" w:firstColumn="1" w:lastColumn="0" w:noHBand="0" w:noVBand="1"/>
      </w:tblPr>
      <w:tblGrid>
        <w:gridCol w:w="980"/>
        <w:gridCol w:w="8774"/>
      </w:tblGrid>
      <w:tr w:rsidR="00F77A60" w:rsidRPr="00E349F0" w:rsidTr="00461223">
        <w:tc>
          <w:tcPr>
            <w:tcW w:w="980" w:type="dxa"/>
            <w:shd w:val="clear" w:color="auto" w:fill="D9D9D9" w:themeFill="background1" w:themeFillShade="D9"/>
          </w:tcPr>
          <w:p w:rsidR="00F77A60" w:rsidRPr="00E349F0" w:rsidRDefault="00F77A60" w:rsidP="00461223"/>
        </w:tc>
        <w:tc>
          <w:tcPr>
            <w:tcW w:w="8774" w:type="dxa"/>
            <w:shd w:val="clear" w:color="auto" w:fill="D9D9D9" w:themeFill="background1" w:themeFillShade="D9"/>
          </w:tcPr>
          <w:p w:rsidR="00F77A60" w:rsidRPr="00C57B33" w:rsidRDefault="00F77A60" w:rsidP="00461223">
            <w:pPr>
              <w:rPr>
                <w:b/>
              </w:rPr>
            </w:pPr>
            <w:r w:rsidRPr="00C57B33">
              <w:rPr>
                <w:b/>
              </w:rPr>
              <w:t xml:space="preserve">Governance Links </w:t>
            </w:r>
          </w:p>
        </w:tc>
      </w:tr>
      <w:tr w:rsidR="00F77A60" w:rsidRPr="00E349F0" w:rsidTr="00461223">
        <w:tc>
          <w:tcPr>
            <w:tcW w:w="980" w:type="dxa"/>
          </w:tcPr>
          <w:p w:rsidR="00F77A60" w:rsidRPr="00E349F0" w:rsidRDefault="00F77A60" w:rsidP="00461223">
            <w:r w:rsidRPr="00E349F0">
              <w:t>1</w:t>
            </w:r>
          </w:p>
        </w:tc>
        <w:tc>
          <w:tcPr>
            <w:tcW w:w="8774" w:type="dxa"/>
          </w:tcPr>
          <w:p w:rsidR="00F77A60" w:rsidRPr="00C57B33" w:rsidRDefault="00F77A60" w:rsidP="00461223">
            <w:pPr>
              <w:rPr>
                <w:b/>
              </w:rPr>
            </w:pPr>
            <w:r w:rsidRPr="00C57B33">
              <w:rPr>
                <w:b/>
              </w:rPr>
              <w:t>Finance and Resources</w:t>
            </w:r>
          </w:p>
          <w:p w:rsidR="00F77A60" w:rsidRPr="00E349F0" w:rsidRDefault="00F77A60" w:rsidP="001919A6">
            <w:r w:rsidRPr="00116D9E">
              <w:t xml:space="preserve">Resources are key to the delivery of good performance. </w:t>
            </w:r>
            <w:r w:rsidR="001919A6">
              <w:t xml:space="preserve">There are no </w:t>
            </w:r>
            <w:r w:rsidR="000B29D9">
              <w:t xml:space="preserve">additional </w:t>
            </w:r>
            <w:r w:rsidR="001919A6">
              <w:t>resourcing issues to flag to the Board which have affected the performance reported.</w:t>
            </w:r>
          </w:p>
        </w:tc>
      </w:tr>
      <w:tr w:rsidR="00F77A60" w:rsidRPr="00E349F0" w:rsidTr="00461223">
        <w:tc>
          <w:tcPr>
            <w:tcW w:w="980" w:type="dxa"/>
          </w:tcPr>
          <w:p w:rsidR="00F77A60" w:rsidRPr="00E349F0" w:rsidRDefault="00F77A60" w:rsidP="00461223">
            <w:r w:rsidRPr="00E349F0">
              <w:t>2</w:t>
            </w:r>
          </w:p>
        </w:tc>
        <w:tc>
          <w:tcPr>
            <w:tcW w:w="8774" w:type="dxa"/>
          </w:tcPr>
          <w:p w:rsidR="00F77A60" w:rsidRPr="00C57B33" w:rsidRDefault="00F77A60" w:rsidP="00461223">
            <w:pPr>
              <w:rPr>
                <w:b/>
              </w:rPr>
            </w:pPr>
            <w:r w:rsidRPr="00C57B33">
              <w:rPr>
                <w:b/>
              </w:rPr>
              <w:t xml:space="preserve">Risk </w:t>
            </w:r>
          </w:p>
          <w:p w:rsidR="00F77A60" w:rsidRPr="009E1784" w:rsidRDefault="00F77A60" w:rsidP="00461223">
            <w:r w:rsidRPr="009E1784">
              <w:t>Applications</w:t>
            </w:r>
          </w:p>
          <w:p w:rsidR="00F77A60" w:rsidRPr="009E1784" w:rsidRDefault="00F77A60" w:rsidP="00461223">
            <w:r w:rsidRPr="009E1784">
              <w:t>This report gives assurance that we are managing the functional risks identified in relation to: (</w:t>
            </w:r>
            <w:proofErr w:type="spellStart"/>
            <w:r w:rsidRPr="009E1784">
              <w:t>i</w:t>
            </w:r>
            <w:proofErr w:type="spellEnd"/>
            <w:r w:rsidRPr="009E1784">
              <w:t>) Failure to accurately assess applications and increases in accordance with SLAB's policies and procedures; and (ii) Failure to take operational decisions within agreed service standards.</w:t>
            </w:r>
          </w:p>
          <w:p w:rsidR="00F77A60" w:rsidRPr="009E1784" w:rsidRDefault="00F77A60" w:rsidP="00461223">
            <w:r w:rsidRPr="009E1784">
              <w:t>Accounts</w:t>
            </w:r>
          </w:p>
          <w:p w:rsidR="00F77A60" w:rsidRPr="009E1784" w:rsidRDefault="00F77A60" w:rsidP="00461223">
            <w:r w:rsidRPr="009E1784">
              <w:t>This report gives assurance that we are managing the functional risks identified in relation to: (</w:t>
            </w:r>
            <w:proofErr w:type="spellStart"/>
            <w:r w:rsidRPr="009E1784">
              <w:t>i</w:t>
            </w:r>
            <w:proofErr w:type="spellEnd"/>
            <w:r w:rsidRPr="009E1784">
              <w:t>) Failure to pay solicitors within a timeframe that is acceptable to the profession and enables management of the Legal Aid Fund; and (ii) Inconsistent approach to assessment of accounts.</w:t>
            </w:r>
          </w:p>
          <w:p w:rsidR="00F77A60" w:rsidRPr="00E349F0" w:rsidRDefault="00F77A60" w:rsidP="00461223"/>
        </w:tc>
      </w:tr>
      <w:tr w:rsidR="00F77A60" w:rsidRPr="009C66A0" w:rsidTr="00461223">
        <w:tc>
          <w:tcPr>
            <w:tcW w:w="980" w:type="dxa"/>
          </w:tcPr>
          <w:p w:rsidR="00F77A60" w:rsidRPr="00E349F0" w:rsidRDefault="00F77A60" w:rsidP="00461223">
            <w:r w:rsidRPr="00E349F0">
              <w:t>3</w:t>
            </w:r>
          </w:p>
          <w:p w:rsidR="00F77A60" w:rsidRPr="00E349F0" w:rsidRDefault="00F77A60" w:rsidP="00461223"/>
        </w:tc>
        <w:tc>
          <w:tcPr>
            <w:tcW w:w="8774" w:type="dxa"/>
          </w:tcPr>
          <w:p w:rsidR="00F77A60" w:rsidRPr="00C57B33" w:rsidRDefault="00F77A60" w:rsidP="00461223">
            <w:pPr>
              <w:rPr>
                <w:b/>
              </w:rPr>
            </w:pPr>
            <w:r w:rsidRPr="00C57B33">
              <w:rPr>
                <w:b/>
              </w:rPr>
              <w:t>Legal and Compliance</w:t>
            </w:r>
          </w:p>
          <w:p w:rsidR="00F77A60" w:rsidRPr="00E349F0" w:rsidRDefault="00F77A60" w:rsidP="00461223"/>
          <w:p w:rsidR="00F77A60" w:rsidRPr="00E349F0" w:rsidRDefault="00F77A60" w:rsidP="00461223">
            <w:r>
              <w:t>No issues of note.</w:t>
            </w:r>
          </w:p>
          <w:p w:rsidR="00F77A60" w:rsidRPr="00E349F0" w:rsidRDefault="00F77A60" w:rsidP="00461223"/>
        </w:tc>
      </w:tr>
      <w:tr w:rsidR="00F77A60" w:rsidRPr="009C66A0" w:rsidTr="00461223">
        <w:tc>
          <w:tcPr>
            <w:tcW w:w="980" w:type="dxa"/>
          </w:tcPr>
          <w:p w:rsidR="00F77A60" w:rsidRPr="00E349F0" w:rsidRDefault="00F77A60" w:rsidP="00461223">
            <w:r w:rsidRPr="00E349F0">
              <w:t>4</w:t>
            </w:r>
          </w:p>
        </w:tc>
        <w:tc>
          <w:tcPr>
            <w:tcW w:w="8774" w:type="dxa"/>
          </w:tcPr>
          <w:p w:rsidR="00F77A60" w:rsidRPr="00C57B33" w:rsidRDefault="00F77A60" w:rsidP="00461223">
            <w:pPr>
              <w:rPr>
                <w:b/>
              </w:rPr>
            </w:pPr>
            <w:r w:rsidRPr="00C57B33">
              <w:rPr>
                <w:b/>
              </w:rPr>
              <w:t>Performance</w:t>
            </w:r>
          </w:p>
          <w:p w:rsidR="00F77A60" w:rsidRPr="00E349F0" w:rsidRDefault="00F77A60" w:rsidP="00461223"/>
          <w:p w:rsidR="00F77A60" w:rsidRPr="00E349F0" w:rsidRDefault="00F77A60" w:rsidP="00461223">
            <w:r>
              <w:t>No issues of note.</w:t>
            </w:r>
          </w:p>
          <w:p w:rsidR="00F77A60" w:rsidRPr="00E349F0" w:rsidRDefault="00F77A60" w:rsidP="00461223"/>
        </w:tc>
      </w:tr>
      <w:tr w:rsidR="00F77A60" w:rsidRPr="009C66A0" w:rsidTr="00461223">
        <w:tc>
          <w:tcPr>
            <w:tcW w:w="980" w:type="dxa"/>
          </w:tcPr>
          <w:p w:rsidR="00F77A60" w:rsidRPr="00E349F0" w:rsidRDefault="00F77A60" w:rsidP="00461223">
            <w:r w:rsidRPr="00E349F0">
              <w:t>5</w:t>
            </w:r>
          </w:p>
        </w:tc>
        <w:tc>
          <w:tcPr>
            <w:tcW w:w="8774" w:type="dxa"/>
          </w:tcPr>
          <w:p w:rsidR="00F77A60" w:rsidRPr="00C57B33" w:rsidRDefault="00F77A60" w:rsidP="00461223">
            <w:pPr>
              <w:rPr>
                <w:b/>
              </w:rPr>
            </w:pPr>
            <w:r w:rsidRPr="00C57B33">
              <w:rPr>
                <w:b/>
              </w:rPr>
              <w:t>Equalities Impact</w:t>
            </w:r>
          </w:p>
          <w:p w:rsidR="00F77A60" w:rsidRPr="00E349F0" w:rsidRDefault="00F77A60" w:rsidP="00461223"/>
          <w:p w:rsidR="00F77A60" w:rsidRPr="00116D9E" w:rsidRDefault="00F77A60" w:rsidP="00461223">
            <w:r w:rsidRPr="009E1784">
              <w:t>An impact assessment is not required for this paper.</w:t>
            </w:r>
          </w:p>
        </w:tc>
      </w:tr>
      <w:tr w:rsidR="00F77A60" w:rsidRPr="009C66A0" w:rsidTr="00461223">
        <w:tc>
          <w:tcPr>
            <w:tcW w:w="980" w:type="dxa"/>
          </w:tcPr>
          <w:p w:rsidR="00F77A60" w:rsidRPr="00E349F0" w:rsidRDefault="00F77A60" w:rsidP="00461223">
            <w:r w:rsidRPr="00E349F0">
              <w:t>6</w:t>
            </w:r>
          </w:p>
        </w:tc>
        <w:tc>
          <w:tcPr>
            <w:tcW w:w="8774" w:type="dxa"/>
          </w:tcPr>
          <w:p w:rsidR="00F77A60" w:rsidRPr="00C57B33" w:rsidRDefault="00F77A60" w:rsidP="00461223">
            <w:pPr>
              <w:rPr>
                <w:b/>
              </w:rPr>
            </w:pPr>
            <w:r w:rsidRPr="00C57B33">
              <w:rPr>
                <w:b/>
              </w:rPr>
              <w:t>Privacy Impact and Data Protection</w:t>
            </w:r>
          </w:p>
          <w:p w:rsidR="00F77A60" w:rsidRPr="00E349F0" w:rsidRDefault="00F77A60" w:rsidP="00461223"/>
          <w:p w:rsidR="00F77A60" w:rsidRPr="00E349F0" w:rsidRDefault="00F77A60" w:rsidP="00461223">
            <w:r w:rsidRPr="00E349F0">
              <w:t xml:space="preserve">No privacy or data protection issues identified.  </w:t>
            </w:r>
          </w:p>
        </w:tc>
      </w:tr>
      <w:tr w:rsidR="00F77A60" w:rsidRPr="009C66A0" w:rsidTr="00461223">
        <w:tc>
          <w:tcPr>
            <w:tcW w:w="980" w:type="dxa"/>
          </w:tcPr>
          <w:p w:rsidR="00F77A60" w:rsidRPr="00E349F0" w:rsidRDefault="00F77A60" w:rsidP="00461223">
            <w:r w:rsidRPr="00E349F0">
              <w:t>7</w:t>
            </w:r>
          </w:p>
        </w:tc>
        <w:tc>
          <w:tcPr>
            <w:tcW w:w="8774" w:type="dxa"/>
          </w:tcPr>
          <w:p w:rsidR="00F77A60" w:rsidRPr="00C57B33" w:rsidRDefault="00F77A60" w:rsidP="00461223">
            <w:pPr>
              <w:rPr>
                <w:b/>
              </w:rPr>
            </w:pPr>
            <w:r w:rsidRPr="00C57B33">
              <w:rPr>
                <w:b/>
              </w:rPr>
              <w:t>Communications and Engagement</w:t>
            </w:r>
          </w:p>
          <w:p w:rsidR="00F77A60" w:rsidRDefault="00F77A60" w:rsidP="00461223"/>
          <w:p w:rsidR="00F77A60" w:rsidRPr="00E349F0" w:rsidRDefault="00F77A60" w:rsidP="00461223">
            <w:pPr>
              <w:rPr>
                <w:i/>
              </w:rPr>
            </w:pPr>
            <w:r w:rsidRPr="009E1784">
              <w:t xml:space="preserve">This paper has been agreed for publication and we are also publishing separate information regarding our performance via our website. </w:t>
            </w:r>
          </w:p>
        </w:tc>
      </w:tr>
    </w:tbl>
    <w:p w:rsidR="00F77A60" w:rsidRPr="009C66A0" w:rsidRDefault="00F77A60" w:rsidP="00F77A60"/>
    <w:p w:rsidR="00F77A60" w:rsidRPr="009C66A0" w:rsidRDefault="00F77A60" w:rsidP="00F77A60"/>
    <w:tbl>
      <w:tblPr>
        <w:tblStyle w:val="TableGrid"/>
        <w:tblW w:w="9493" w:type="dxa"/>
        <w:tblLook w:val="04A0" w:firstRow="1" w:lastRow="0" w:firstColumn="1" w:lastColumn="0" w:noHBand="0" w:noVBand="1"/>
      </w:tblPr>
      <w:tblGrid>
        <w:gridCol w:w="9493"/>
      </w:tblGrid>
      <w:tr w:rsidR="00F77A60" w:rsidRPr="009C66A0" w:rsidTr="00461223">
        <w:tc>
          <w:tcPr>
            <w:tcW w:w="9493" w:type="dxa"/>
            <w:shd w:val="clear" w:color="auto" w:fill="D9D9D9" w:themeFill="background1" w:themeFillShade="D9"/>
          </w:tcPr>
          <w:p w:rsidR="00F77A60" w:rsidRPr="00C57B33" w:rsidRDefault="00F77A60" w:rsidP="00461223">
            <w:pPr>
              <w:rPr>
                <w:b/>
                <w:color w:val="FF0000"/>
              </w:rPr>
            </w:pPr>
            <w:r w:rsidRPr="00C57B33">
              <w:rPr>
                <w:b/>
              </w:rPr>
              <w:t>Conclusion and next steps</w:t>
            </w:r>
          </w:p>
        </w:tc>
      </w:tr>
      <w:tr w:rsidR="00F77A60" w:rsidRPr="009C66A0" w:rsidTr="00461223">
        <w:tc>
          <w:tcPr>
            <w:tcW w:w="9493" w:type="dxa"/>
            <w:tcBorders>
              <w:left w:val="nil"/>
              <w:bottom w:val="nil"/>
              <w:right w:val="nil"/>
            </w:tcBorders>
          </w:tcPr>
          <w:p w:rsidR="00F77A60" w:rsidRPr="009C66A0" w:rsidRDefault="00F77A60" w:rsidP="00461223"/>
        </w:tc>
      </w:tr>
    </w:tbl>
    <w:p w:rsidR="00F77A60" w:rsidRPr="00CA0A48" w:rsidRDefault="00F77A60" w:rsidP="00F77A60">
      <w:r w:rsidRPr="00CA0A48">
        <w:t>Members are asked to note the report.</w:t>
      </w:r>
    </w:p>
    <w:p w:rsidR="00F77A60" w:rsidRPr="009C66A0" w:rsidRDefault="00F77A60" w:rsidP="00F77A60"/>
    <w:tbl>
      <w:tblPr>
        <w:tblStyle w:val="TableGrid"/>
        <w:tblW w:w="9493" w:type="dxa"/>
        <w:tblLook w:val="04A0" w:firstRow="1" w:lastRow="0" w:firstColumn="1" w:lastColumn="0" w:noHBand="0" w:noVBand="1"/>
      </w:tblPr>
      <w:tblGrid>
        <w:gridCol w:w="9493"/>
      </w:tblGrid>
      <w:tr w:rsidR="00F77A60" w:rsidRPr="009C66A0" w:rsidTr="00461223">
        <w:tc>
          <w:tcPr>
            <w:tcW w:w="9493" w:type="dxa"/>
            <w:shd w:val="clear" w:color="auto" w:fill="D9D9D9" w:themeFill="background1" w:themeFillShade="D9"/>
          </w:tcPr>
          <w:p w:rsidR="00F77A60" w:rsidRPr="00C57B33" w:rsidRDefault="00F77A60" w:rsidP="00461223">
            <w:pPr>
              <w:rPr>
                <w:b/>
                <w:color w:val="FF0000"/>
              </w:rPr>
            </w:pPr>
            <w:r w:rsidRPr="00C57B33">
              <w:rPr>
                <w:b/>
              </w:rPr>
              <w:t>Appendices</w:t>
            </w:r>
          </w:p>
        </w:tc>
      </w:tr>
      <w:tr w:rsidR="00F77A60" w:rsidRPr="009C66A0" w:rsidTr="00461223">
        <w:tc>
          <w:tcPr>
            <w:tcW w:w="9493" w:type="dxa"/>
            <w:tcBorders>
              <w:right w:val="single" w:sz="4" w:space="0" w:color="auto"/>
            </w:tcBorders>
          </w:tcPr>
          <w:p w:rsidR="00F77A60" w:rsidRDefault="00F77A60" w:rsidP="00461223">
            <w:r>
              <w:t xml:space="preserve">Appendix </w:t>
            </w:r>
            <w:r w:rsidR="0040024D">
              <w:t>1</w:t>
            </w:r>
            <w:r>
              <w:t xml:space="preserve">: </w:t>
            </w:r>
            <w:r w:rsidRPr="00CA0A48">
              <w:t>Guide to the SLAB Operation Performance Overview Report (SOPOR)</w:t>
            </w:r>
          </w:p>
          <w:p w:rsidR="00F77A60" w:rsidRPr="009C66A0" w:rsidRDefault="00F77A60" w:rsidP="00461223"/>
        </w:tc>
      </w:tr>
    </w:tbl>
    <w:p w:rsidR="00F77A60" w:rsidRDefault="00F77A60" w:rsidP="00F77A60">
      <w:r>
        <w:br w:type="page"/>
      </w:r>
    </w:p>
    <w:p w:rsidR="00F77A60" w:rsidRPr="00A604AA" w:rsidRDefault="00F77A60" w:rsidP="00F77A60">
      <w:pPr>
        <w:rPr>
          <w:b/>
        </w:rPr>
      </w:pPr>
      <w:r>
        <w:rPr>
          <w:b/>
        </w:rPr>
        <w:lastRenderedPageBreak/>
        <w:t xml:space="preserve">Appendix </w:t>
      </w:r>
      <w:r w:rsidR="0040024D">
        <w:rPr>
          <w:b/>
        </w:rPr>
        <w:t>1</w:t>
      </w:r>
    </w:p>
    <w:p w:rsidR="00F77A60" w:rsidRDefault="00F77A60" w:rsidP="00F77A60"/>
    <w:p w:rsidR="00F77A60" w:rsidRPr="00153D72" w:rsidRDefault="00F77A60" w:rsidP="00F77A60">
      <w:r w:rsidRPr="00153D72">
        <w:t>Guide to the SLAB Operation Performance Overview Report (SOPOR)</w:t>
      </w:r>
    </w:p>
    <w:p w:rsidR="00F77A60" w:rsidRPr="00E5184A" w:rsidRDefault="00F77A60" w:rsidP="00F77A60">
      <w:pPr>
        <w:pStyle w:val="BodyText"/>
      </w:pPr>
    </w:p>
    <w:p w:rsidR="00F77A60" w:rsidRPr="00E5184A" w:rsidRDefault="00F77A60" w:rsidP="00F77A60">
      <w:r w:rsidRPr="00E5184A">
        <w:t>STRUCTURE</w:t>
      </w:r>
    </w:p>
    <w:p w:rsidR="00F77A60" w:rsidRPr="00E5184A" w:rsidRDefault="00F77A60" w:rsidP="00F77A60">
      <w:pPr>
        <w:pStyle w:val="BodyText"/>
      </w:pPr>
    </w:p>
    <w:p w:rsidR="00F77A60" w:rsidRPr="00E5184A" w:rsidRDefault="00F77A60" w:rsidP="00F77A60">
      <w:pPr>
        <w:pStyle w:val="BodyText"/>
      </w:pPr>
      <w:r w:rsidRPr="00E5184A">
        <w:t>Information is grouped by operational area and type of measure. The first 3 reports are on Applications areas: Civil; Criminal and Children’s, and the bottom 3 on Accounts areas.</w:t>
      </w:r>
    </w:p>
    <w:p w:rsidR="00F77A60" w:rsidRPr="00E5184A" w:rsidRDefault="00F77A60" w:rsidP="00F77A60">
      <w:pPr>
        <w:pStyle w:val="BodyText"/>
      </w:pPr>
    </w:p>
    <w:p w:rsidR="00F77A60" w:rsidRPr="00E5184A" w:rsidRDefault="00F77A60" w:rsidP="00F77A60">
      <w:pPr>
        <w:pStyle w:val="BodyText"/>
      </w:pPr>
      <w:r w:rsidRPr="00E5184A">
        <w:t>In Civil we report Adults with Incapacity cases</w:t>
      </w:r>
      <w:r>
        <w:t xml:space="preserve"> separately</w:t>
      </w:r>
      <w:r w:rsidRPr="00E5184A">
        <w:t xml:space="preserve">. These are high in volume and we take decisions on these in a much shorter timescale because the statutory tests are more straightforward. These are </w:t>
      </w:r>
      <w:r>
        <w:t xml:space="preserve">separated out </w:t>
      </w:r>
      <w:r w:rsidRPr="00E5184A">
        <w:t>to avoid a disproportionate impact on performance statistics.</w:t>
      </w:r>
    </w:p>
    <w:p w:rsidR="00F77A60" w:rsidRPr="00E5184A" w:rsidRDefault="00F77A60" w:rsidP="00F77A60">
      <w:pPr>
        <w:pStyle w:val="BodyText"/>
      </w:pPr>
    </w:p>
    <w:p w:rsidR="00F77A60" w:rsidRPr="00E5184A" w:rsidRDefault="00F77A60" w:rsidP="00F77A60">
      <w:pPr>
        <w:pStyle w:val="BodyText"/>
      </w:pPr>
      <w:r w:rsidRPr="00E5184A">
        <w:t>In Criminal we report on summary and solemn cases separately: SL = Solemn cases; SC= Summary cases.</w:t>
      </w:r>
    </w:p>
    <w:p w:rsidR="00F77A60" w:rsidRPr="00E5184A" w:rsidRDefault="00F77A60" w:rsidP="00F77A60">
      <w:pPr>
        <w:pStyle w:val="Heading2"/>
      </w:pPr>
      <w:r w:rsidRPr="00E5184A">
        <w:br/>
      </w:r>
      <w:r>
        <w:t xml:space="preserve">PERFORMANCE REPORTING </w:t>
      </w:r>
      <w:r w:rsidRPr="00E5184A">
        <w:t xml:space="preserve">IN </w:t>
      </w:r>
      <w:r>
        <w:t xml:space="preserve">THE </w:t>
      </w:r>
      <w:r w:rsidRPr="00E5184A">
        <w:t>SOPOR</w:t>
      </w:r>
    </w:p>
    <w:p w:rsidR="00F77A60" w:rsidRPr="00E5184A" w:rsidRDefault="00F77A60" w:rsidP="00F77A60">
      <w:pPr>
        <w:pStyle w:val="BodyText"/>
      </w:pPr>
    </w:p>
    <w:p w:rsidR="004625C4" w:rsidRDefault="004625C4" w:rsidP="004625C4">
      <w:pPr>
        <w:pStyle w:val="BodyText"/>
      </w:pPr>
      <w:r>
        <w:t>Benchmarks for performance reporting for financial year 202</w:t>
      </w:r>
      <w:r w:rsidR="0065608D">
        <w:t>2</w:t>
      </w:r>
      <w:r>
        <w:t>-2</w:t>
      </w:r>
      <w:r w:rsidR="0065608D">
        <w:t>3</w:t>
      </w:r>
      <w:r>
        <w:t xml:space="preserve"> were presented to the Board in March 202</w:t>
      </w:r>
      <w:r w:rsidR="0065608D">
        <w:t>2</w:t>
      </w:r>
      <w:r>
        <w:t>.  The benchmarks proposed balanced the aim of being challenging but achievable but also the need to manage the risks and uncertainty around the coming year of 202</w:t>
      </w:r>
      <w:r w:rsidR="0065608D">
        <w:t>2</w:t>
      </w:r>
      <w:r>
        <w:t>-2</w:t>
      </w:r>
      <w:r w:rsidR="0065608D">
        <w:t>3</w:t>
      </w:r>
      <w:r>
        <w:t>.  They were based on performance during the pandemic in 2020/21 and also pre the pandemic in 2019/20.</w:t>
      </w:r>
    </w:p>
    <w:p w:rsidR="004625C4" w:rsidRDefault="004625C4" w:rsidP="004625C4">
      <w:pPr>
        <w:pStyle w:val="BodyText"/>
      </w:pPr>
    </w:p>
    <w:p w:rsidR="004625C4" w:rsidRDefault="004625C4" w:rsidP="004625C4">
      <w:pPr>
        <w:pStyle w:val="BodyText"/>
      </w:pPr>
      <w:r>
        <w:t>The new benchmarks were introduced into the reporting from April 202</w:t>
      </w:r>
      <w:r w:rsidR="0065608D">
        <w:t>2</w:t>
      </w:r>
      <w:r>
        <w:t xml:space="preserve"> onwards.</w:t>
      </w:r>
    </w:p>
    <w:p w:rsidR="004625C4" w:rsidRDefault="004625C4" w:rsidP="004625C4">
      <w:pPr>
        <w:pStyle w:val="BodyText"/>
      </w:pPr>
    </w:p>
    <w:p w:rsidR="00F77A60" w:rsidRPr="00683C09" w:rsidRDefault="00F77A60" w:rsidP="004625C4">
      <w:pPr>
        <w:pStyle w:val="BodyText"/>
      </w:pPr>
      <w:r w:rsidRPr="00683C09">
        <w:t xml:space="preserve">A rolling 3-month average (i.e. a mean) is the basis for calculating </w:t>
      </w:r>
      <w:r>
        <w:t xml:space="preserve">and reporting </w:t>
      </w:r>
      <w:r w:rsidRPr="00683C09">
        <w:t>performance.  This is compared against a static benchmark with performance reported in terms of three zones:</w:t>
      </w:r>
    </w:p>
    <w:p w:rsidR="00F77A60" w:rsidRPr="00683C09" w:rsidRDefault="00F77A60" w:rsidP="00F77A60"/>
    <w:p w:rsidR="00F77A60" w:rsidRPr="00683C09" w:rsidRDefault="00F77A60" w:rsidP="00F77A60">
      <w:pPr>
        <w:pStyle w:val="ListParagraph"/>
        <w:numPr>
          <w:ilvl w:val="0"/>
          <w:numId w:val="2"/>
        </w:numPr>
      </w:pPr>
      <w:r w:rsidRPr="00683C09">
        <w:t>Met</w:t>
      </w:r>
      <w:r>
        <w:t xml:space="preserve"> </w:t>
      </w:r>
      <w:r w:rsidRPr="00683C09">
        <w:t>(the benchmark)</w:t>
      </w:r>
    </w:p>
    <w:p w:rsidR="00F77A60" w:rsidRPr="00683C09" w:rsidRDefault="00F77A60" w:rsidP="00F77A60">
      <w:pPr>
        <w:pStyle w:val="ListParagraph"/>
        <w:numPr>
          <w:ilvl w:val="0"/>
          <w:numId w:val="2"/>
        </w:numPr>
      </w:pPr>
      <w:r w:rsidRPr="00683C09">
        <w:t>Worse than (the benchmark)</w:t>
      </w:r>
    </w:p>
    <w:p w:rsidR="00F77A60" w:rsidRPr="00683C09" w:rsidRDefault="00F77A60" w:rsidP="00F77A60">
      <w:pPr>
        <w:pStyle w:val="ListParagraph"/>
        <w:numPr>
          <w:ilvl w:val="0"/>
          <w:numId w:val="2"/>
        </w:numPr>
      </w:pPr>
      <w:r w:rsidRPr="00683C09">
        <w:t>Better than (the benchmark)</w:t>
      </w:r>
    </w:p>
    <w:p w:rsidR="00F77A60" w:rsidRPr="00683C09" w:rsidRDefault="00F77A60" w:rsidP="00F77A60">
      <w:pPr>
        <w:pStyle w:val="BodyText"/>
      </w:pPr>
      <w:r w:rsidRPr="00683C09">
        <w:t xml:space="preserve">  </w:t>
      </w:r>
    </w:p>
    <w:p w:rsidR="00F77A60" w:rsidRPr="00683C09" w:rsidRDefault="00F77A60" w:rsidP="00F77A60">
      <w:pPr>
        <w:pStyle w:val="BodyText"/>
      </w:pPr>
      <w:r w:rsidRPr="00683C09">
        <w:t>A green-yellow-blue</w:t>
      </w:r>
      <w:r w:rsidRPr="00B8080B">
        <w:rPr>
          <w:lang w:val="en-GB"/>
        </w:rPr>
        <w:t xml:space="preserve"> colour</w:t>
      </w:r>
      <w:r w:rsidRPr="00683C09">
        <w:t xml:space="preserve"> highlighting scheme is used.  Green indicates a benchmark is being met.  Yellow highlights the ‘Worse than’ zone and Blue highlights the ‘Better than’ zone.</w:t>
      </w:r>
    </w:p>
    <w:p w:rsidR="00F77A60" w:rsidRPr="00683C09" w:rsidRDefault="00F77A60" w:rsidP="00F77A60">
      <w:pPr>
        <w:pStyle w:val="BodyText"/>
      </w:pPr>
    </w:p>
    <w:p w:rsidR="00F77A60" w:rsidRPr="00683C09" w:rsidRDefault="00F77A60" w:rsidP="00F77A60">
      <w:pPr>
        <w:pStyle w:val="BodyText"/>
      </w:pPr>
      <w:r w:rsidRPr="00683C09">
        <w:t>The Met zone is defined initially as the benchmark plus or minus 5%.  The ‘Better than’ and ‘Worse than’ zones are above or below the Met zone – depending on the type of measure.  For example with the First Decision % Granted measure in general higher figures are better.  So the ‘Better than’ zone is above the Met zone, i.e. above 105% of benchmark.  But we aren’t necessarily aiming to be as high as possible – we may find issues with accuracy and quality if we get too high or we may need to expend a disproportionate amount of effort.</w:t>
      </w:r>
    </w:p>
    <w:p w:rsidR="00F77A60" w:rsidRPr="00683C09" w:rsidRDefault="00F77A60" w:rsidP="00F77A60">
      <w:pPr>
        <w:pStyle w:val="BodyText"/>
      </w:pPr>
    </w:p>
    <w:p w:rsidR="00F77A60" w:rsidRPr="00683C09" w:rsidRDefault="00F77A60" w:rsidP="00F77A60">
      <w:pPr>
        <w:pStyle w:val="BodyText"/>
      </w:pPr>
      <w:r w:rsidRPr="00683C09">
        <w:t>With the Duration and Further Work ratio measures the ‘Better than’ zones are below the benchmark (less than 95% of benchmark).</w:t>
      </w:r>
    </w:p>
    <w:p w:rsidR="00F77A60" w:rsidRPr="00683C09" w:rsidRDefault="00F77A60" w:rsidP="00F77A60">
      <w:pPr>
        <w:pStyle w:val="BodyText"/>
      </w:pPr>
    </w:p>
    <w:p w:rsidR="00F77A60" w:rsidRPr="00683C09" w:rsidRDefault="00F77A60" w:rsidP="00F77A60">
      <w:pPr>
        <w:pStyle w:val="BodyText"/>
      </w:pPr>
      <w:r w:rsidRPr="00683C09">
        <w:t xml:space="preserve">The starting point for defining the width of the Met zone is plus or minus 5%.  In some cases it has been necessary to adjust it.  This adjustment is because of the differences in application and account types and processes which produce different distributions for the </w:t>
      </w:r>
      <w:r w:rsidRPr="00683C09">
        <w:lastRenderedPageBreak/>
        <w:t>different measures – some are more variable than others.  This is especially so in relation to the size of the measure value.  For example plus or minus 5% covers a wider range of values at 90% than it does at 20%</w:t>
      </w:r>
      <w:r>
        <w:rPr>
          <w:rStyle w:val="FootnoteReference"/>
          <w:rFonts w:asciiTheme="minorHAnsi" w:hAnsiTheme="minorHAnsi"/>
          <w:bCs/>
          <w:sz w:val="24"/>
          <w:szCs w:val="24"/>
        </w:rPr>
        <w:footnoteReference w:id="1"/>
      </w:r>
      <w:r w:rsidRPr="00683C09">
        <w:t>.</w:t>
      </w:r>
    </w:p>
    <w:p w:rsidR="00F77A60" w:rsidRPr="00683C09" w:rsidRDefault="00F77A60" w:rsidP="00F77A60">
      <w:pPr>
        <w:pStyle w:val="BodyText"/>
      </w:pPr>
    </w:p>
    <w:p w:rsidR="00F77A60" w:rsidRPr="00683C09" w:rsidRDefault="00F77A60" w:rsidP="00F77A60">
      <w:pPr>
        <w:pStyle w:val="BodyText"/>
      </w:pPr>
      <w:r w:rsidRPr="00683C09">
        <w:t>The benchmark approach has facilitated the re-inclusion of AWI within civil and a more detailed breakdown of accounts to be presented.</w:t>
      </w:r>
    </w:p>
    <w:p w:rsidR="00F77A60" w:rsidRPr="00683C09" w:rsidRDefault="00F77A60" w:rsidP="00F77A60">
      <w:pPr>
        <w:pStyle w:val="BodyText"/>
      </w:pPr>
    </w:p>
    <w:p w:rsidR="00F77A60" w:rsidRPr="00683C09" w:rsidRDefault="00F77A60" w:rsidP="00F77A60">
      <w:pPr>
        <w:pStyle w:val="BodyText"/>
        <w:rPr>
          <w:bCs/>
        </w:rPr>
      </w:pPr>
      <w:r w:rsidRPr="00683C09">
        <w:t>All measures are calculated for the most recent 3 month period and the 11 previous results are also shown so that trends over 1 year can be seen</w:t>
      </w:r>
      <w:r>
        <w:t>.</w:t>
      </w:r>
    </w:p>
    <w:p w:rsidR="00F77A60" w:rsidRDefault="00F77A60" w:rsidP="00F77A60">
      <w:pPr>
        <w:pStyle w:val="BodyText"/>
      </w:pPr>
    </w:p>
    <w:p w:rsidR="00F77A60" w:rsidRPr="00E5184A" w:rsidRDefault="00F77A60" w:rsidP="00F77A60">
      <w:pPr>
        <w:pStyle w:val="Heading2"/>
      </w:pPr>
      <w:r>
        <w:t xml:space="preserve">DESCRIPTION OF MEASURES </w:t>
      </w:r>
      <w:r w:rsidRPr="00E5184A">
        <w:t xml:space="preserve">IN </w:t>
      </w:r>
      <w:r>
        <w:t xml:space="preserve">THE </w:t>
      </w:r>
      <w:r w:rsidRPr="00E5184A">
        <w:t>SOPOR</w:t>
      </w:r>
    </w:p>
    <w:p w:rsidR="00F77A60" w:rsidRPr="00E5184A" w:rsidRDefault="00F77A60" w:rsidP="00F77A60">
      <w:pPr>
        <w:pStyle w:val="BodyText"/>
      </w:pPr>
    </w:p>
    <w:p w:rsidR="00F77A60" w:rsidRPr="00E5184A" w:rsidRDefault="00F77A60" w:rsidP="00F77A60">
      <w:pPr>
        <w:pStyle w:val="BodyText"/>
      </w:pPr>
      <w:r w:rsidRPr="00E5184A">
        <w:t xml:space="preserve">Duration </w:t>
      </w:r>
    </w:p>
    <w:p w:rsidR="00F77A60" w:rsidRPr="00E5184A" w:rsidRDefault="00F77A60" w:rsidP="00F77A60">
      <w:pPr>
        <w:pStyle w:val="BodyText"/>
      </w:pPr>
    </w:p>
    <w:p w:rsidR="00F77A60" w:rsidRPr="00E5184A" w:rsidRDefault="00F77A60" w:rsidP="00F77A60">
      <w:pPr>
        <w:pStyle w:val="BodyText"/>
      </w:pPr>
      <w:r w:rsidRPr="00E5184A">
        <w:t>The key duration shown for applications is the average time, in calendar days, from receipt of a main legal aid application by SLAB, to when we take the first official decision on it.  This duration includes all weekends and holidays.  It also includes any period where we are asking the solicitor, or applicant, for more information to help us take the decision.</w:t>
      </w:r>
    </w:p>
    <w:p w:rsidR="00F77A60" w:rsidRPr="00E5184A" w:rsidRDefault="00F77A60" w:rsidP="00F77A60">
      <w:pPr>
        <w:pStyle w:val="BodyText"/>
      </w:pPr>
    </w:p>
    <w:p w:rsidR="00F77A60" w:rsidRDefault="00F77A60" w:rsidP="00F77A60">
      <w:pPr>
        <w:pStyle w:val="BodyText"/>
      </w:pPr>
      <w:r w:rsidRPr="00E5184A">
        <w:t xml:space="preserve">This indicator measures both the workflow performance of SLAB but also the degree to which solicitors and applicants are managing to provide all necessary information.  </w:t>
      </w:r>
    </w:p>
    <w:p w:rsidR="00F77A60" w:rsidRPr="00E5184A" w:rsidRDefault="00F77A60" w:rsidP="00F77A60">
      <w:pPr>
        <w:pStyle w:val="BodyText"/>
      </w:pPr>
      <w:r w:rsidRPr="00E5184A">
        <w:t xml:space="preserve">Simply put </w:t>
      </w:r>
      <w:r w:rsidRPr="00E5184A">
        <w:rPr>
          <w:b/>
          <w:bCs/>
          <w:u w:val="single"/>
        </w:rPr>
        <w:t>lower</w:t>
      </w:r>
      <w:r w:rsidRPr="00E5184A">
        <w:t xml:space="preserve"> is better.</w:t>
      </w:r>
    </w:p>
    <w:p w:rsidR="00F77A60" w:rsidRPr="00E5184A" w:rsidRDefault="00F77A60" w:rsidP="00F77A60">
      <w:pPr>
        <w:pStyle w:val="BodyText"/>
      </w:pPr>
    </w:p>
    <w:p w:rsidR="00F77A60" w:rsidRPr="00E5184A" w:rsidRDefault="00F77A60" w:rsidP="00F77A60">
      <w:pPr>
        <w:pStyle w:val="BodyText"/>
      </w:pPr>
      <w:r w:rsidRPr="00E5184A">
        <w:t>In accounts the first instance duration is a very similar measure – it is from registration of the account to the date payment is received into the solicitor’s bank account.  It is in calendar days and again includes any period where we are asking the solicitor for more information to help us assess the account.</w:t>
      </w:r>
    </w:p>
    <w:p w:rsidR="00F77A60" w:rsidRPr="00E5184A" w:rsidRDefault="00F77A60" w:rsidP="00F77A60">
      <w:pPr>
        <w:pStyle w:val="BodyText"/>
      </w:pPr>
    </w:p>
    <w:p w:rsidR="00F77A60" w:rsidRPr="00E5184A" w:rsidRDefault="00F77A60" w:rsidP="00F77A60">
      <w:pPr>
        <w:pStyle w:val="BodyText"/>
      </w:pPr>
      <w:r w:rsidRPr="00E5184A">
        <w:t xml:space="preserve">The negotiation duration is the same measure but for accounts that are follow-up accounts to negotiate sums that we have abated from initial accounts. </w:t>
      </w:r>
    </w:p>
    <w:p w:rsidR="00F77A60" w:rsidRPr="00E5184A" w:rsidRDefault="00F77A60" w:rsidP="00F77A60">
      <w:pPr>
        <w:pStyle w:val="BodyText"/>
      </w:pPr>
    </w:p>
    <w:p w:rsidR="00F77A60" w:rsidRPr="00E5184A" w:rsidRDefault="00F77A60" w:rsidP="00F77A60">
      <w:pPr>
        <w:pStyle w:val="BodyText"/>
      </w:pPr>
      <w:r w:rsidRPr="00E5184A">
        <w:t>Grant / paid in full rate</w:t>
      </w:r>
    </w:p>
    <w:p w:rsidR="00F77A60" w:rsidRPr="00E5184A" w:rsidRDefault="00F77A60" w:rsidP="00F77A60">
      <w:pPr>
        <w:pStyle w:val="BodyText"/>
      </w:pPr>
    </w:p>
    <w:p w:rsidR="00F77A60" w:rsidRPr="00E5184A" w:rsidRDefault="00F77A60" w:rsidP="00F77A60">
      <w:pPr>
        <w:pStyle w:val="BodyText"/>
      </w:pPr>
      <w:r w:rsidRPr="00E5184A">
        <w:t xml:space="preserve">The first official decision on a legal aid application can be one of 3 main types: grant; refuse; or not consider due to lack of information.  The percent granted measure is the number of grants divided by (i.e. indexed) by the total number of first decisions in the period and expressed as a percentage.  </w:t>
      </w:r>
    </w:p>
    <w:p w:rsidR="00F77A60" w:rsidRPr="00E5184A" w:rsidRDefault="00F77A60" w:rsidP="00F77A60">
      <w:pPr>
        <w:pStyle w:val="BodyText"/>
      </w:pPr>
    </w:p>
    <w:p w:rsidR="00F77A60" w:rsidRPr="00E5184A" w:rsidRDefault="00F77A60" w:rsidP="00F77A60">
      <w:pPr>
        <w:pStyle w:val="BodyText"/>
      </w:pPr>
      <w:r w:rsidRPr="00E5184A">
        <w:t xml:space="preserve">This indicator measures the effectiveness with which SLAB and the profession are facilitating solicitors to make appropriate and complete applications.  </w:t>
      </w:r>
    </w:p>
    <w:p w:rsidR="00F77A60" w:rsidRPr="00E5184A" w:rsidRDefault="00F77A60" w:rsidP="00F77A60">
      <w:pPr>
        <w:pStyle w:val="BodyText"/>
      </w:pPr>
      <w:r w:rsidRPr="00E5184A">
        <w:t xml:space="preserve">Simply put </w:t>
      </w:r>
      <w:r w:rsidRPr="00E5184A">
        <w:rPr>
          <w:b/>
          <w:bCs/>
          <w:u w:val="single"/>
        </w:rPr>
        <w:t>higher</w:t>
      </w:r>
      <w:r w:rsidRPr="00E5184A">
        <w:t xml:space="preserve"> is better.</w:t>
      </w:r>
    </w:p>
    <w:p w:rsidR="00F77A60" w:rsidRPr="00E5184A" w:rsidRDefault="00F77A60" w:rsidP="00F77A60">
      <w:pPr>
        <w:pStyle w:val="BodyText"/>
      </w:pPr>
    </w:p>
    <w:p w:rsidR="00F77A60" w:rsidRPr="00E5184A" w:rsidRDefault="00F77A60" w:rsidP="00F77A60">
      <w:pPr>
        <w:pStyle w:val="BodyText"/>
      </w:pPr>
      <w:r w:rsidRPr="00E5184A">
        <w:t xml:space="preserve">In accounts the equivalent measure is the percent of accounts that we are able to pay all that solicitors are claiming, i.e. without abating them.  </w:t>
      </w:r>
    </w:p>
    <w:p w:rsidR="00F77A60" w:rsidRPr="00E5184A" w:rsidRDefault="00F77A60" w:rsidP="00F77A60">
      <w:pPr>
        <w:pStyle w:val="BodyText"/>
      </w:pPr>
    </w:p>
    <w:p w:rsidR="00F77A60" w:rsidRPr="00E5184A" w:rsidRDefault="00F77A60" w:rsidP="00F77A60">
      <w:pPr>
        <w:pStyle w:val="BodyText"/>
      </w:pPr>
      <w:r w:rsidRPr="00E5184A">
        <w:t xml:space="preserve">‘Abatement’ describes the process by which the amount paid by SLAB includes one or more deductions from the amount claimed by a solicitor.  This can occur for many different reasons.  Subsequent negotiations with firms can result in part or all of the sum abated being reinstated, often because we are provided with further information that allows us to be satisfied that a claim is valid or reasonable. This can be additional information (such as vouching) to support a claim, or an explanation to justify a particular </w:t>
      </w:r>
      <w:r w:rsidRPr="00E5184A">
        <w:lastRenderedPageBreak/>
        <w:t>activity which had appeared to us on the face of it to be unnecessary, unreasonable or uneconomical.</w:t>
      </w:r>
    </w:p>
    <w:p w:rsidR="00F77A60" w:rsidRPr="00E5184A" w:rsidRDefault="00F77A60" w:rsidP="00F77A60">
      <w:pPr>
        <w:pStyle w:val="BodyText"/>
      </w:pPr>
    </w:p>
    <w:p w:rsidR="00F77A60" w:rsidRDefault="00F77A60" w:rsidP="00F77A60">
      <w:pPr>
        <w:pStyle w:val="BodyText"/>
      </w:pPr>
      <w:r w:rsidRPr="00E5184A">
        <w:t>SLAB needs to protect the Legal Aid Fund from unjustified expenditure; however this needs to be undertaken in a manner that is seen to be fair, transparent and done in a consistent and efficient manner.</w:t>
      </w:r>
    </w:p>
    <w:p w:rsidR="002123E8" w:rsidRDefault="002123E8" w:rsidP="00F77A60">
      <w:pPr>
        <w:pStyle w:val="BodyText"/>
      </w:pPr>
    </w:p>
    <w:p w:rsidR="002123E8" w:rsidRPr="00E5184A" w:rsidRDefault="002123E8" w:rsidP="00F77A60">
      <w:pPr>
        <w:pStyle w:val="BodyText"/>
      </w:pPr>
    </w:p>
    <w:p w:rsidR="00F77A60" w:rsidRPr="00E5184A" w:rsidRDefault="00F77A60" w:rsidP="00F77A60">
      <w:pPr>
        <w:pStyle w:val="BodyText"/>
      </w:pPr>
      <w:r w:rsidRPr="00E5184A">
        <w:t xml:space="preserve">Ultimately we will be using the information on what we finally pay against, the original lodged amount and the initial payment to understand how we can ensure more could be paid at the first instance. </w:t>
      </w:r>
    </w:p>
    <w:p w:rsidR="00F77A60" w:rsidRPr="00E5184A" w:rsidRDefault="00F77A60" w:rsidP="00F77A60">
      <w:pPr>
        <w:pStyle w:val="BodyText"/>
      </w:pPr>
    </w:p>
    <w:p w:rsidR="00F77A60" w:rsidRPr="00E5184A" w:rsidRDefault="00F77A60" w:rsidP="00F77A60">
      <w:pPr>
        <w:pStyle w:val="BodyText"/>
      </w:pPr>
      <w:r w:rsidRPr="00E5184A">
        <w:t>Ratio of Further Work (Negotiation) to First Decision (First Instance)</w:t>
      </w:r>
    </w:p>
    <w:p w:rsidR="00F77A60" w:rsidRPr="00E5184A" w:rsidRDefault="00F77A60" w:rsidP="00F77A60">
      <w:pPr>
        <w:pStyle w:val="BodyText"/>
      </w:pPr>
    </w:p>
    <w:p w:rsidR="00F77A60" w:rsidRPr="00E5184A" w:rsidRDefault="00F77A60" w:rsidP="00F77A60">
      <w:pPr>
        <w:pStyle w:val="BodyText"/>
      </w:pPr>
      <w:r w:rsidRPr="00E5184A">
        <w:t>In applications this indicator is the number of cases requiring further work divided by the total number of first decisions in the period and expressed as a percentage.    In accounts it is the number of negotiation accounts paid compared with the number of first instance accounts.</w:t>
      </w:r>
    </w:p>
    <w:p w:rsidR="00F77A60" w:rsidRPr="00E5184A" w:rsidRDefault="00F77A60" w:rsidP="00F77A60">
      <w:pPr>
        <w:pStyle w:val="BodyText"/>
      </w:pPr>
    </w:p>
    <w:p w:rsidR="00F77A60" w:rsidRPr="00E5184A" w:rsidRDefault="00F77A60" w:rsidP="00F77A60">
      <w:pPr>
        <w:pStyle w:val="BodyText"/>
      </w:pPr>
      <w:r w:rsidRPr="00E5184A">
        <w:t>This indicator measures a number of different key elements of the process:</w:t>
      </w:r>
    </w:p>
    <w:p w:rsidR="00F77A60" w:rsidRPr="00E5184A" w:rsidRDefault="00F77A60" w:rsidP="00F77A60">
      <w:pPr>
        <w:pStyle w:val="BodyText"/>
      </w:pPr>
    </w:p>
    <w:p w:rsidR="00F77A60" w:rsidRPr="00E5184A" w:rsidRDefault="00F77A60" w:rsidP="00F77A60">
      <w:pPr>
        <w:pStyle w:val="BodyText"/>
        <w:numPr>
          <w:ilvl w:val="0"/>
          <w:numId w:val="1"/>
        </w:numPr>
      </w:pPr>
      <w:r w:rsidRPr="00E5184A">
        <w:t>the effectiveness with which SLAB is getting correct applications/accounts in the first instance;</w:t>
      </w:r>
    </w:p>
    <w:p w:rsidR="00F77A60" w:rsidRPr="00E5184A" w:rsidRDefault="00F77A60" w:rsidP="00F77A60">
      <w:pPr>
        <w:pStyle w:val="BodyText"/>
        <w:numPr>
          <w:ilvl w:val="0"/>
          <w:numId w:val="1"/>
        </w:numPr>
      </w:pPr>
      <w:r w:rsidRPr="00E5184A">
        <w:t>that SLAB is making correct decisions;</w:t>
      </w:r>
    </w:p>
    <w:p w:rsidR="00F77A60" w:rsidRPr="00E5184A" w:rsidRDefault="002123E8" w:rsidP="00F77A60">
      <w:pPr>
        <w:pStyle w:val="BodyText"/>
        <w:numPr>
          <w:ilvl w:val="0"/>
          <w:numId w:val="1"/>
        </w:numPr>
      </w:pPr>
      <w:r w:rsidRPr="00E5184A">
        <w:t>The</w:t>
      </w:r>
      <w:r w:rsidR="00F77A60" w:rsidRPr="00E5184A">
        <w:t xml:space="preserve"> effectiveness with which SLAB is communicating those decisions.</w:t>
      </w:r>
    </w:p>
    <w:p w:rsidR="00F77A60" w:rsidRPr="00E5184A" w:rsidRDefault="00F77A60" w:rsidP="00F77A60">
      <w:pPr>
        <w:pStyle w:val="BodyText"/>
      </w:pPr>
    </w:p>
    <w:p w:rsidR="00F77A60" w:rsidRPr="00E5184A" w:rsidRDefault="00F77A60" w:rsidP="00F77A60">
      <w:pPr>
        <w:pStyle w:val="BodyText"/>
      </w:pPr>
      <w:r w:rsidRPr="00E5184A">
        <w:t xml:space="preserve">Poor performance in any of those areas could result in an increase in this ratio.  Simply put </w:t>
      </w:r>
      <w:r w:rsidRPr="00E5184A">
        <w:rPr>
          <w:b/>
          <w:bCs/>
          <w:u w:val="single"/>
        </w:rPr>
        <w:t>lower</w:t>
      </w:r>
      <w:r w:rsidRPr="00E5184A">
        <w:t xml:space="preserve"> is better.</w:t>
      </w:r>
    </w:p>
    <w:p w:rsidR="00F77A60" w:rsidRDefault="00F77A60" w:rsidP="00F77A60"/>
    <w:p w:rsidR="007D6A9E" w:rsidRDefault="007D6A9E"/>
    <w:sectPr w:rsidR="007D6A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8E5" w:rsidRDefault="008D48E5" w:rsidP="00F77A60">
      <w:r>
        <w:separator/>
      </w:r>
    </w:p>
  </w:endnote>
  <w:endnote w:type="continuationSeparator" w:id="0">
    <w:p w:rsidR="008D48E5" w:rsidRDefault="008D48E5" w:rsidP="00F7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49D" w:rsidRDefault="002D0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AD" w:rsidRDefault="00CC5CAD" w:rsidP="00461223">
    <w:pPr>
      <w:pStyle w:val="Footer"/>
    </w:pPr>
    <w:r w:rsidRPr="00101A53">
      <w:rPr>
        <w:i/>
      </w:rPr>
      <w:t>The Scottish Legal Aid Board</w:t>
    </w:r>
    <w:r w:rsidRPr="00101A53">
      <w:t xml:space="preserve">     </w:t>
    </w:r>
    <w:r w:rsidRPr="00101A53">
      <w:rPr>
        <w:b/>
      </w:rPr>
      <w:fldChar w:fldCharType="begin"/>
    </w:r>
    <w:r w:rsidRPr="00101A53">
      <w:rPr>
        <w:b/>
      </w:rPr>
      <w:instrText xml:space="preserve"> PAGE   \* MERGEFORMAT </w:instrText>
    </w:r>
    <w:r w:rsidRPr="00101A53">
      <w:rPr>
        <w:b/>
      </w:rPr>
      <w:fldChar w:fldCharType="separate"/>
    </w:r>
    <w:r w:rsidR="00861E2B">
      <w:rPr>
        <w:b/>
        <w:noProof/>
      </w:rPr>
      <w:t>2</w:t>
    </w:r>
    <w:r w:rsidRPr="00101A53">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AD" w:rsidRPr="00101A53" w:rsidRDefault="00CC5CAD" w:rsidP="00461223">
    <w:pPr>
      <w:pStyle w:val="Footer"/>
    </w:pPr>
    <w:r w:rsidRPr="00101A53">
      <w:rPr>
        <w:i/>
      </w:rPr>
      <w:t>The Scottish Legal Aid Board</w:t>
    </w:r>
    <w:r w:rsidRPr="00101A53">
      <w:t xml:space="preserve">     </w:t>
    </w:r>
    <w:r w:rsidRPr="00101A53">
      <w:rPr>
        <w:b/>
      </w:rPr>
      <w:fldChar w:fldCharType="begin"/>
    </w:r>
    <w:r w:rsidRPr="00101A53">
      <w:rPr>
        <w:b/>
      </w:rPr>
      <w:instrText xml:space="preserve"> PAGE   \* MERGEFORMAT </w:instrText>
    </w:r>
    <w:r w:rsidRPr="00101A53">
      <w:rPr>
        <w:b/>
      </w:rPr>
      <w:fldChar w:fldCharType="separate"/>
    </w:r>
    <w:r w:rsidR="00861E2B">
      <w:rPr>
        <w:b/>
        <w:noProof/>
      </w:rPr>
      <w:t>1</w:t>
    </w:r>
    <w:r w:rsidRPr="00101A53">
      <w:rPr>
        <w:b/>
        <w:noProof/>
      </w:rPr>
      <w:fldChar w:fldCharType="end"/>
    </w:r>
  </w:p>
  <w:p w:rsidR="00CC5CAD" w:rsidRDefault="00CC5CAD" w:rsidP="004612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516" w:rsidRDefault="002835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516" w:rsidRDefault="00283516" w:rsidP="00461223">
    <w:pPr>
      <w:pStyle w:val="Footer"/>
    </w:pPr>
    <w:r w:rsidRPr="00101A53">
      <w:rPr>
        <w:i/>
      </w:rPr>
      <w:t>The Scottish Legal Aid Board</w:t>
    </w:r>
    <w:r w:rsidRPr="00101A53">
      <w:t xml:space="preserve">     </w:t>
    </w:r>
    <w:r w:rsidRPr="00101A53">
      <w:rPr>
        <w:b/>
      </w:rPr>
      <w:fldChar w:fldCharType="begin"/>
    </w:r>
    <w:r w:rsidRPr="00101A53">
      <w:rPr>
        <w:b/>
      </w:rPr>
      <w:instrText xml:space="preserve"> PAGE   \* MERGEFORMAT </w:instrText>
    </w:r>
    <w:r w:rsidRPr="00101A53">
      <w:rPr>
        <w:b/>
      </w:rPr>
      <w:fldChar w:fldCharType="separate"/>
    </w:r>
    <w:r w:rsidR="00861E2B">
      <w:rPr>
        <w:b/>
        <w:noProof/>
      </w:rPr>
      <w:t>8</w:t>
    </w:r>
    <w:r w:rsidRPr="00101A53">
      <w:rPr>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516" w:rsidRPr="00101A53" w:rsidRDefault="00283516" w:rsidP="00461223">
    <w:pPr>
      <w:pStyle w:val="Footer"/>
    </w:pPr>
    <w:r w:rsidRPr="00101A53">
      <w:rPr>
        <w:i/>
      </w:rPr>
      <w:t>The Scottish Legal Aid Board</w:t>
    </w:r>
    <w:r w:rsidRPr="00101A53">
      <w:t xml:space="preserve">     </w:t>
    </w:r>
    <w:r w:rsidRPr="00101A53">
      <w:rPr>
        <w:b/>
      </w:rPr>
      <w:fldChar w:fldCharType="begin"/>
    </w:r>
    <w:r w:rsidRPr="00101A53">
      <w:rPr>
        <w:b/>
      </w:rPr>
      <w:instrText xml:space="preserve"> PAGE   \* MERGEFORMAT </w:instrText>
    </w:r>
    <w:r w:rsidRPr="00101A53">
      <w:rPr>
        <w:b/>
      </w:rPr>
      <w:fldChar w:fldCharType="separate"/>
    </w:r>
    <w:r>
      <w:rPr>
        <w:b/>
        <w:noProof/>
      </w:rPr>
      <w:t>5</w:t>
    </w:r>
    <w:r w:rsidRPr="00101A53">
      <w:rPr>
        <w:b/>
        <w:noProof/>
      </w:rPr>
      <w:fldChar w:fldCharType="end"/>
    </w:r>
  </w:p>
  <w:p w:rsidR="00283516" w:rsidRDefault="00283516" w:rsidP="00461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8E5" w:rsidRDefault="008D48E5" w:rsidP="00F77A60">
      <w:r>
        <w:separator/>
      </w:r>
    </w:p>
  </w:footnote>
  <w:footnote w:type="continuationSeparator" w:id="0">
    <w:p w:rsidR="008D48E5" w:rsidRDefault="008D48E5" w:rsidP="00F77A60">
      <w:r>
        <w:continuationSeparator/>
      </w:r>
    </w:p>
  </w:footnote>
  <w:footnote w:id="1">
    <w:p w:rsidR="00283516" w:rsidRPr="00683C09" w:rsidRDefault="00283516" w:rsidP="00F77A60">
      <w:pPr>
        <w:pStyle w:val="FootnoteText"/>
      </w:pPr>
      <w:r>
        <w:rPr>
          <w:rStyle w:val="FootnoteReference"/>
        </w:rPr>
        <w:footnoteRef/>
      </w:r>
      <w:r>
        <w:t xml:space="preserve"> For more information please see Board paper SLAB-2019-11 Benchmark Proposals for 2019-20.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49D" w:rsidRDefault="002D0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AD" w:rsidRDefault="00CC5CAD" w:rsidP="00461223">
    <w:pPr>
      <w:pStyle w:val="Header"/>
    </w:pPr>
    <w:r>
      <w:rPr>
        <w:noProof/>
        <w:lang w:eastAsia="en-GB"/>
      </w:rPr>
      <w:drawing>
        <wp:anchor distT="0" distB="0" distL="114300" distR="114300" simplePos="0" relativeHeight="251658752" behindDoc="1" locked="0" layoutInCell="1" allowOverlap="1" wp14:anchorId="75145304" wp14:editId="27C1BB1D">
          <wp:simplePos x="0" y="0"/>
          <wp:positionH relativeFrom="page">
            <wp:align>right</wp:align>
          </wp:positionH>
          <wp:positionV relativeFrom="page">
            <wp:align>top</wp:align>
          </wp:positionV>
          <wp:extent cx="1466850" cy="155120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oosh 2 40% fa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850" cy="15512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7728" behindDoc="1" locked="0" layoutInCell="1" allowOverlap="1" wp14:anchorId="4E340859" wp14:editId="3D311CBE">
          <wp:simplePos x="0" y="0"/>
          <wp:positionH relativeFrom="page">
            <wp:posOffset>9229725</wp:posOffset>
          </wp:positionH>
          <wp:positionV relativeFrom="page">
            <wp:posOffset>0</wp:posOffset>
          </wp:positionV>
          <wp:extent cx="1466850" cy="15512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oosh 2 40% fa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850" cy="15512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AD" w:rsidRDefault="00CC5CAD" w:rsidP="00461223">
    <w:pPr>
      <w:pStyle w:val="Header"/>
      <w:tabs>
        <w:tab w:val="clear" w:pos="4513"/>
        <w:tab w:val="clear" w:pos="9026"/>
        <w:tab w:val="right" w:pos="9356"/>
      </w:tabs>
    </w:pPr>
    <w:r>
      <w:rPr>
        <w:noProof/>
        <w:lang w:eastAsia="en-GB"/>
      </w:rPr>
      <w:drawing>
        <wp:anchor distT="0" distB="0" distL="114300" distR="114300" simplePos="0" relativeHeight="251659776" behindDoc="0" locked="0" layoutInCell="1" allowOverlap="1" wp14:anchorId="202879C5" wp14:editId="4BD43EC0">
          <wp:simplePos x="0" y="0"/>
          <wp:positionH relativeFrom="margin">
            <wp:align>left</wp:align>
          </wp:positionH>
          <wp:positionV relativeFrom="paragraph">
            <wp:posOffset>-36830</wp:posOffset>
          </wp:positionV>
          <wp:extent cx="687070" cy="855345"/>
          <wp:effectExtent l="0" t="0" r="0" b="1905"/>
          <wp:wrapSquare wrapText="bothSides"/>
          <wp:docPr id="33" name="Picture 6"/>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7070" cy="85534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CC5CAD" w:rsidRDefault="00CC5CAD" w:rsidP="00C6614E">
    <w:pPr>
      <w:pStyle w:val="Header"/>
      <w:tabs>
        <w:tab w:val="clear" w:pos="4513"/>
        <w:tab w:val="clear" w:pos="9026"/>
        <w:tab w:val="right" w:pos="9356"/>
      </w:tabs>
      <w:jc w:val="right"/>
    </w:pPr>
  </w:p>
  <w:p w:rsidR="00CC5CAD" w:rsidRPr="004937CF" w:rsidRDefault="00CC5CAD" w:rsidP="00461223">
    <w:pPr>
      <w:pStyle w:val="Header"/>
      <w:tabs>
        <w:tab w:val="clear" w:pos="4513"/>
        <w:tab w:val="clear" w:pos="9026"/>
        <w:tab w:val="right" w:pos="9356"/>
      </w:tabs>
    </w:pPr>
    <w:r>
      <w:t xml:space="preserve">                                                          </w:t>
    </w:r>
    <w:r w:rsidRPr="004937CF">
      <w:t xml:space="preserve">Report No: </w:t>
    </w:r>
    <w:r w:rsidR="00F01B8A" w:rsidRPr="00F01B8A">
      <w:rPr>
        <w:b/>
      </w:rPr>
      <w:t>SLAB/2022/</w:t>
    </w:r>
    <w:r w:rsidR="002D049D">
      <w:rPr>
        <w:b/>
      </w:rPr>
      <w:t>24</w:t>
    </w:r>
  </w:p>
  <w:p w:rsidR="00CC5CAD" w:rsidRPr="00C6614E" w:rsidRDefault="00CC5CAD" w:rsidP="00461223">
    <w:pPr>
      <w:pStyle w:val="Header"/>
      <w:tabs>
        <w:tab w:val="clear" w:pos="4513"/>
        <w:tab w:val="clear" w:pos="9026"/>
        <w:tab w:val="right" w:pos="9356"/>
      </w:tabs>
      <w:rPr>
        <w:color w:val="FF0000"/>
      </w:rPr>
    </w:pPr>
    <w:r w:rsidRPr="004937CF">
      <w:t xml:space="preserve">                                                                        </w:t>
    </w:r>
    <w:r>
      <w:t>Agenda Item:</w:t>
    </w:r>
    <w:r w:rsidR="002D049D">
      <w:t xml:space="preserve"> 7</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516" w:rsidRDefault="002835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516" w:rsidRDefault="00283516" w:rsidP="00461223">
    <w:pPr>
      <w:pStyle w:val="Header"/>
    </w:pPr>
    <w:r>
      <w:rPr>
        <w:noProof/>
        <w:lang w:eastAsia="en-GB"/>
      </w:rPr>
      <w:drawing>
        <wp:anchor distT="0" distB="0" distL="114300" distR="114300" simplePos="0" relativeHeight="251655680" behindDoc="1" locked="0" layoutInCell="1" allowOverlap="1" wp14:anchorId="287830D4" wp14:editId="25F61021">
          <wp:simplePos x="0" y="0"/>
          <wp:positionH relativeFrom="page">
            <wp:align>right</wp:align>
          </wp:positionH>
          <wp:positionV relativeFrom="page">
            <wp:align>top</wp:align>
          </wp:positionV>
          <wp:extent cx="1466850" cy="155120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oosh 2 40% fa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850" cy="15512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4656" behindDoc="1" locked="0" layoutInCell="1" allowOverlap="1" wp14:anchorId="6BD59708" wp14:editId="7C0FEDF6">
          <wp:simplePos x="0" y="0"/>
          <wp:positionH relativeFrom="page">
            <wp:posOffset>9229725</wp:posOffset>
          </wp:positionH>
          <wp:positionV relativeFrom="page">
            <wp:posOffset>0</wp:posOffset>
          </wp:positionV>
          <wp:extent cx="1466850" cy="155120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oosh 2 40% fa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850" cy="15512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516" w:rsidRDefault="00283516" w:rsidP="00461223">
    <w:pPr>
      <w:pStyle w:val="Header"/>
      <w:tabs>
        <w:tab w:val="clear" w:pos="4513"/>
        <w:tab w:val="clear" w:pos="9026"/>
        <w:tab w:val="right" w:pos="9356"/>
      </w:tabs>
    </w:pPr>
    <w:r>
      <w:rPr>
        <w:noProof/>
        <w:lang w:eastAsia="en-GB"/>
      </w:rPr>
      <w:drawing>
        <wp:anchor distT="0" distB="0" distL="114300" distR="114300" simplePos="0" relativeHeight="251656704" behindDoc="0" locked="0" layoutInCell="1" allowOverlap="1" wp14:anchorId="0A28F17A" wp14:editId="5FC49994">
          <wp:simplePos x="0" y="0"/>
          <wp:positionH relativeFrom="margin">
            <wp:align>left</wp:align>
          </wp:positionH>
          <wp:positionV relativeFrom="paragraph">
            <wp:posOffset>-36830</wp:posOffset>
          </wp:positionV>
          <wp:extent cx="687070" cy="855345"/>
          <wp:effectExtent l="0" t="0" r="0" b="1905"/>
          <wp:wrapSquare wrapText="bothSides"/>
          <wp:docPr id="59" name="Picture 59"/>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7070" cy="85534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B55357">
      <w:t xml:space="preserve">Report No: </w:t>
    </w:r>
    <w:r w:rsidRPr="009225A3">
      <w:rPr>
        <w:b/>
      </w:rPr>
      <w:t>SLAB/20</w:t>
    </w:r>
    <w:r>
      <w:rPr>
        <w:b/>
      </w:rPr>
      <w:t>20</w:t>
    </w:r>
    <w:r w:rsidRPr="009225A3">
      <w:rPr>
        <w:b/>
      </w:rPr>
      <w:t>/</w:t>
    </w:r>
    <w:r>
      <w:rPr>
        <w:b/>
      </w:rPr>
      <w:t>15</w:t>
    </w:r>
  </w:p>
  <w:p w:rsidR="00283516" w:rsidRDefault="00283516" w:rsidP="00461223">
    <w:pPr>
      <w:pStyle w:val="Header"/>
      <w:tabs>
        <w:tab w:val="clear" w:pos="4513"/>
        <w:tab w:val="clear" w:pos="9026"/>
        <w:tab w:val="right" w:pos="9356"/>
      </w:tabs>
    </w:pPr>
    <w:r>
      <w:tab/>
      <w:t>Agenda Item: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A04D5"/>
    <w:multiLevelType w:val="hybridMultilevel"/>
    <w:tmpl w:val="47D62B8A"/>
    <w:lvl w:ilvl="0" w:tplc="B3C8A2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DC5534"/>
    <w:multiLevelType w:val="hybridMultilevel"/>
    <w:tmpl w:val="F702B5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FBF7A9A"/>
    <w:multiLevelType w:val="hybridMultilevel"/>
    <w:tmpl w:val="B6CA18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93819FB"/>
    <w:multiLevelType w:val="hybridMultilevel"/>
    <w:tmpl w:val="171E5F4A"/>
    <w:lvl w:ilvl="0" w:tplc="4934A9AE">
      <w:start w:val="1"/>
      <w:numFmt w:val="upp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7A0D06C9"/>
    <w:multiLevelType w:val="hybridMultilevel"/>
    <w:tmpl w:val="82A8EE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60"/>
    <w:rsid w:val="00041E06"/>
    <w:rsid w:val="000441BB"/>
    <w:rsid w:val="00044538"/>
    <w:rsid w:val="000508C7"/>
    <w:rsid w:val="00051AC2"/>
    <w:rsid w:val="000560AD"/>
    <w:rsid w:val="00063598"/>
    <w:rsid w:val="00080DE8"/>
    <w:rsid w:val="00086616"/>
    <w:rsid w:val="000A2B0E"/>
    <w:rsid w:val="000B0640"/>
    <w:rsid w:val="000B29D9"/>
    <w:rsid w:val="000C516C"/>
    <w:rsid w:val="000C57D2"/>
    <w:rsid w:val="000C5A49"/>
    <w:rsid w:val="000D0B6B"/>
    <w:rsid w:val="000D73B0"/>
    <w:rsid w:val="000E3FE4"/>
    <w:rsid w:val="00105CA2"/>
    <w:rsid w:val="0010770C"/>
    <w:rsid w:val="00120C47"/>
    <w:rsid w:val="00137436"/>
    <w:rsid w:val="00145918"/>
    <w:rsid w:val="0015504B"/>
    <w:rsid w:val="00170322"/>
    <w:rsid w:val="00175C59"/>
    <w:rsid w:val="0018144C"/>
    <w:rsid w:val="00187439"/>
    <w:rsid w:val="00187849"/>
    <w:rsid w:val="001919A6"/>
    <w:rsid w:val="0019555F"/>
    <w:rsid w:val="001A7B43"/>
    <w:rsid w:val="001A7BD4"/>
    <w:rsid w:val="001D4098"/>
    <w:rsid w:val="001D5482"/>
    <w:rsid w:val="001E33DE"/>
    <w:rsid w:val="001E3A28"/>
    <w:rsid w:val="001E7685"/>
    <w:rsid w:val="00202FE4"/>
    <w:rsid w:val="002123E8"/>
    <w:rsid w:val="0021682A"/>
    <w:rsid w:val="0022115A"/>
    <w:rsid w:val="00222534"/>
    <w:rsid w:val="00223EA9"/>
    <w:rsid w:val="002249E1"/>
    <w:rsid w:val="00252145"/>
    <w:rsid w:val="0025567A"/>
    <w:rsid w:val="0026583B"/>
    <w:rsid w:val="00283516"/>
    <w:rsid w:val="002914E8"/>
    <w:rsid w:val="002A3EFE"/>
    <w:rsid w:val="002A64B7"/>
    <w:rsid w:val="002C2E9B"/>
    <w:rsid w:val="002C4DBD"/>
    <w:rsid w:val="002C5B50"/>
    <w:rsid w:val="002C7908"/>
    <w:rsid w:val="002D049D"/>
    <w:rsid w:val="002D21F4"/>
    <w:rsid w:val="002D51CA"/>
    <w:rsid w:val="002E7277"/>
    <w:rsid w:val="002F51BE"/>
    <w:rsid w:val="00311C6D"/>
    <w:rsid w:val="00321038"/>
    <w:rsid w:val="00321DB0"/>
    <w:rsid w:val="0032656E"/>
    <w:rsid w:val="00331E65"/>
    <w:rsid w:val="0033355E"/>
    <w:rsid w:val="00351752"/>
    <w:rsid w:val="00355AFA"/>
    <w:rsid w:val="00362F68"/>
    <w:rsid w:val="003668F1"/>
    <w:rsid w:val="00367148"/>
    <w:rsid w:val="003A0A2C"/>
    <w:rsid w:val="003B2D94"/>
    <w:rsid w:val="003B760F"/>
    <w:rsid w:val="003E7699"/>
    <w:rsid w:val="003F4451"/>
    <w:rsid w:val="0040024D"/>
    <w:rsid w:val="00400936"/>
    <w:rsid w:val="004055EB"/>
    <w:rsid w:val="0042254A"/>
    <w:rsid w:val="00422617"/>
    <w:rsid w:val="00427445"/>
    <w:rsid w:val="004362D6"/>
    <w:rsid w:val="00441712"/>
    <w:rsid w:val="004434BF"/>
    <w:rsid w:val="00456FD3"/>
    <w:rsid w:val="00461223"/>
    <w:rsid w:val="004625C4"/>
    <w:rsid w:val="004660D2"/>
    <w:rsid w:val="00482AF7"/>
    <w:rsid w:val="00485AC0"/>
    <w:rsid w:val="0048763C"/>
    <w:rsid w:val="00492DE3"/>
    <w:rsid w:val="004937CF"/>
    <w:rsid w:val="004B1D93"/>
    <w:rsid w:val="004B2705"/>
    <w:rsid w:val="004B6F48"/>
    <w:rsid w:val="004D790E"/>
    <w:rsid w:val="004D7E09"/>
    <w:rsid w:val="004E19B0"/>
    <w:rsid w:val="004E6118"/>
    <w:rsid w:val="004E73BE"/>
    <w:rsid w:val="004F6B02"/>
    <w:rsid w:val="00524355"/>
    <w:rsid w:val="0054415F"/>
    <w:rsid w:val="00554E4A"/>
    <w:rsid w:val="00555C4F"/>
    <w:rsid w:val="00561AF0"/>
    <w:rsid w:val="00574993"/>
    <w:rsid w:val="005B3F5B"/>
    <w:rsid w:val="005C06BA"/>
    <w:rsid w:val="005C1ABD"/>
    <w:rsid w:val="005C2543"/>
    <w:rsid w:val="0060111E"/>
    <w:rsid w:val="00603164"/>
    <w:rsid w:val="00632219"/>
    <w:rsid w:val="0063512D"/>
    <w:rsid w:val="006411AF"/>
    <w:rsid w:val="00642FD6"/>
    <w:rsid w:val="006504B1"/>
    <w:rsid w:val="006513C1"/>
    <w:rsid w:val="0065184C"/>
    <w:rsid w:val="006522B7"/>
    <w:rsid w:val="0065608D"/>
    <w:rsid w:val="00657598"/>
    <w:rsid w:val="00691EEF"/>
    <w:rsid w:val="006B1FFD"/>
    <w:rsid w:val="006B2E35"/>
    <w:rsid w:val="006C7198"/>
    <w:rsid w:val="006C79E4"/>
    <w:rsid w:val="006D0876"/>
    <w:rsid w:val="006E02E5"/>
    <w:rsid w:val="006E79C0"/>
    <w:rsid w:val="006F31C4"/>
    <w:rsid w:val="006F7D1E"/>
    <w:rsid w:val="007133F0"/>
    <w:rsid w:val="00724EB9"/>
    <w:rsid w:val="00725184"/>
    <w:rsid w:val="00726223"/>
    <w:rsid w:val="00736B8E"/>
    <w:rsid w:val="007370EB"/>
    <w:rsid w:val="007459BA"/>
    <w:rsid w:val="00753411"/>
    <w:rsid w:val="00754ED7"/>
    <w:rsid w:val="00756202"/>
    <w:rsid w:val="0076314A"/>
    <w:rsid w:val="007645F1"/>
    <w:rsid w:val="0077465E"/>
    <w:rsid w:val="00780489"/>
    <w:rsid w:val="007902FC"/>
    <w:rsid w:val="00791949"/>
    <w:rsid w:val="007A3C32"/>
    <w:rsid w:val="007B1BC1"/>
    <w:rsid w:val="007D6A9E"/>
    <w:rsid w:val="008049D4"/>
    <w:rsid w:val="008107CC"/>
    <w:rsid w:val="00820BBC"/>
    <w:rsid w:val="00826B72"/>
    <w:rsid w:val="00846BFA"/>
    <w:rsid w:val="008529D4"/>
    <w:rsid w:val="00861E2B"/>
    <w:rsid w:val="00863FEE"/>
    <w:rsid w:val="00866D6E"/>
    <w:rsid w:val="0088718D"/>
    <w:rsid w:val="00896000"/>
    <w:rsid w:val="00896A40"/>
    <w:rsid w:val="008D48E5"/>
    <w:rsid w:val="008E61BE"/>
    <w:rsid w:val="008E730C"/>
    <w:rsid w:val="008F0DE1"/>
    <w:rsid w:val="008F7E2B"/>
    <w:rsid w:val="00911E6E"/>
    <w:rsid w:val="00933302"/>
    <w:rsid w:val="00973E78"/>
    <w:rsid w:val="00981FF5"/>
    <w:rsid w:val="0099141A"/>
    <w:rsid w:val="009918EF"/>
    <w:rsid w:val="00997FD4"/>
    <w:rsid w:val="009A188B"/>
    <w:rsid w:val="009A4FB2"/>
    <w:rsid w:val="009A7243"/>
    <w:rsid w:val="009E4B8C"/>
    <w:rsid w:val="00A1427A"/>
    <w:rsid w:val="00A16EB6"/>
    <w:rsid w:val="00A36E39"/>
    <w:rsid w:val="00A44900"/>
    <w:rsid w:val="00A620A4"/>
    <w:rsid w:val="00A64F5A"/>
    <w:rsid w:val="00A66EE1"/>
    <w:rsid w:val="00AA376A"/>
    <w:rsid w:val="00AD2776"/>
    <w:rsid w:val="00AF1F74"/>
    <w:rsid w:val="00B0769E"/>
    <w:rsid w:val="00B30460"/>
    <w:rsid w:val="00B323B8"/>
    <w:rsid w:val="00B36EE1"/>
    <w:rsid w:val="00B476D9"/>
    <w:rsid w:val="00B527B8"/>
    <w:rsid w:val="00B65A0D"/>
    <w:rsid w:val="00B677D5"/>
    <w:rsid w:val="00B762B4"/>
    <w:rsid w:val="00B77EB7"/>
    <w:rsid w:val="00B8080B"/>
    <w:rsid w:val="00B81AB3"/>
    <w:rsid w:val="00B84F7A"/>
    <w:rsid w:val="00BA64C2"/>
    <w:rsid w:val="00BB0034"/>
    <w:rsid w:val="00BB6296"/>
    <w:rsid w:val="00BC75B3"/>
    <w:rsid w:val="00BD1DF7"/>
    <w:rsid w:val="00BD6D08"/>
    <w:rsid w:val="00BE0BE8"/>
    <w:rsid w:val="00C04AEE"/>
    <w:rsid w:val="00C22F9A"/>
    <w:rsid w:val="00C30707"/>
    <w:rsid w:val="00C31E77"/>
    <w:rsid w:val="00C34DE0"/>
    <w:rsid w:val="00C36CF2"/>
    <w:rsid w:val="00C5721C"/>
    <w:rsid w:val="00C620D2"/>
    <w:rsid w:val="00C63EE4"/>
    <w:rsid w:val="00C6614E"/>
    <w:rsid w:val="00C667DF"/>
    <w:rsid w:val="00C779C5"/>
    <w:rsid w:val="00C95A4E"/>
    <w:rsid w:val="00C971C7"/>
    <w:rsid w:val="00CA1A5C"/>
    <w:rsid w:val="00CC5CAD"/>
    <w:rsid w:val="00CE006F"/>
    <w:rsid w:val="00CF165D"/>
    <w:rsid w:val="00D46205"/>
    <w:rsid w:val="00D56C8E"/>
    <w:rsid w:val="00D8296F"/>
    <w:rsid w:val="00D97CB5"/>
    <w:rsid w:val="00DA3377"/>
    <w:rsid w:val="00DB264E"/>
    <w:rsid w:val="00DC44AD"/>
    <w:rsid w:val="00DD1B88"/>
    <w:rsid w:val="00DF3150"/>
    <w:rsid w:val="00DF53CE"/>
    <w:rsid w:val="00DF5486"/>
    <w:rsid w:val="00E02F4C"/>
    <w:rsid w:val="00E04F3A"/>
    <w:rsid w:val="00E111F7"/>
    <w:rsid w:val="00E146DF"/>
    <w:rsid w:val="00E352E1"/>
    <w:rsid w:val="00E44750"/>
    <w:rsid w:val="00E50647"/>
    <w:rsid w:val="00E54C4C"/>
    <w:rsid w:val="00E54EB3"/>
    <w:rsid w:val="00E70E1A"/>
    <w:rsid w:val="00E72FC6"/>
    <w:rsid w:val="00E8076C"/>
    <w:rsid w:val="00E921A1"/>
    <w:rsid w:val="00E92E7E"/>
    <w:rsid w:val="00EA2CE3"/>
    <w:rsid w:val="00EC3138"/>
    <w:rsid w:val="00EE2E94"/>
    <w:rsid w:val="00F01B8A"/>
    <w:rsid w:val="00F117DD"/>
    <w:rsid w:val="00F242DC"/>
    <w:rsid w:val="00F331A8"/>
    <w:rsid w:val="00F3651C"/>
    <w:rsid w:val="00F44617"/>
    <w:rsid w:val="00F45F5E"/>
    <w:rsid w:val="00F51899"/>
    <w:rsid w:val="00F6184D"/>
    <w:rsid w:val="00F67C50"/>
    <w:rsid w:val="00F7532A"/>
    <w:rsid w:val="00F7590F"/>
    <w:rsid w:val="00F77A60"/>
    <w:rsid w:val="00FA48ED"/>
    <w:rsid w:val="00FC493F"/>
    <w:rsid w:val="00FD5E29"/>
    <w:rsid w:val="00FD6E48"/>
    <w:rsid w:val="00FE0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3BF55A"/>
  <w15:chartTrackingRefBased/>
  <w15:docId w15:val="{A70EADDF-C5D3-4286-9817-6255AE58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A60"/>
    <w:pPr>
      <w:spacing w:before="0" w:beforeAutospacing="0" w:after="0" w:afterAutospacing="0"/>
    </w:pPr>
    <w:rPr>
      <w:rFonts w:ascii="Trebuchet MS" w:hAnsi="Trebuchet MS"/>
      <w:sz w:val="24"/>
      <w:szCs w:val="18"/>
    </w:rPr>
  </w:style>
  <w:style w:type="paragraph" w:styleId="Heading2">
    <w:name w:val="heading 2"/>
    <w:basedOn w:val="Normal"/>
    <w:next w:val="Normal"/>
    <w:link w:val="Heading2Char"/>
    <w:uiPriority w:val="9"/>
    <w:unhideWhenUsed/>
    <w:qFormat/>
    <w:rsid w:val="00F77A60"/>
    <w:pPr>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A60"/>
    <w:rPr>
      <w:rFonts w:ascii="Trebuchet MS" w:hAnsi="Trebuchet MS"/>
      <w:b/>
      <w:sz w:val="24"/>
      <w:szCs w:val="24"/>
    </w:rPr>
  </w:style>
  <w:style w:type="paragraph" w:styleId="ListParagraph">
    <w:name w:val="List Paragraph"/>
    <w:basedOn w:val="Normal"/>
    <w:uiPriority w:val="34"/>
    <w:qFormat/>
    <w:rsid w:val="00F77A60"/>
    <w:pPr>
      <w:ind w:left="720"/>
      <w:contextualSpacing/>
    </w:pPr>
  </w:style>
  <w:style w:type="paragraph" w:styleId="Header">
    <w:name w:val="header"/>
    <w:basedOn w:val="Normal"/>
    <w:link w:val="HeaderChar"/>
    <w:uiPriority w:val="99"/>
    <w:unhideWhenUsed/>
    <w:rsid w:val="00F77A60"/>
    <w:pPr>
      <w:tabs>
        <w:tab w:val="center" w:pos="4513"/>
        <w:tab w:val="right" w:pos="9026"/>
      </w:tabs>
    </w:pPr>
  </w:style>
  <w:style w:type="character" w:customStyle="1" w:styleId="HeaderChar">
    <w:name w:val="Header Char"/>
    <w:basedOn w:val="DefaultParagraphFont"/>
    <w:link w:val="Header"/>
    <w:uiPriority w:val="99"/>
    <w:rsid w:val="00F77A60"/>
    <w:rPr>
      <w:rFonts w:ascii="Trebuchet MS" w:hAnsi="Trebuchet MS"/>
      <w:sz w:val="24"/>
      <w:szCs w:val="18"/>
    </w:rPr>
  </w:style>
  <w:style w:type="paragraph" w:styleId="Footer">
    <w:name w:val="footer"/>
    <w:basedOn w:val="Normal"/>
    <w:link w:val="FooterChar"/>
    <w:uiPriority w:val="99"/>
    <w:unhideWhenUsed/>
    <w:rsid w:val="00F77A60"/>
    <w:pPr>
      <w:tabs>
        <w:tab w:val="center" w:pos="4513"/>
        <w:tab w:val="right" w:pos="9026"/>
      </w:tabs>
    </w:pPr>
  </w:style>
  <w:style w:type="character" w:customStyle="1" w:styleId="FooterChar">
    <w:name w:val="Footer Char"/>
    <w:basedOn w:val="DefaultParagraphFont"/>
    <w:link w:val="Footer"/>
    <w:uiPriority w:val="99"/>
    <w:rsid w:val="00F77A60"/>
    <w:rPr>
      <w:rFonts w:ascii="Trebuchet MS" w:hAnsi="Trebuchet MS"/>
      <w:sz w:val="24"/>
      <w:szCs w:val="18"/>
    </w:rPr>
  </w:style>
  <w:style w:type="table" w:styleId="TableGrid">
    <w:name w:val="Table Grid"/>
    <w:basedOn w:val="TableNormal"/>
    <w:uiPriority w:val="39"/>
    <w:rsid w:val="00F77A60"/>
    <w:pPr>
      <w:spacing w:before="0" w:beforeAutospacing="0" w:after="0" w:afterAutospacing="0"/>
    </w:pPr>
    <w:rPr>
      <w:rFonts w:ascii="Trebuchet MS" w:hAnsi="Trebuchet MS"/>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77A60"/>
    <w:pPr>
      <w:widowControl w:val="0"/>
      <w:autoSpaceDE w:val="0"/>
      <w:autoSpaceDN w:val="0"/>
    </w:pPr>
    <w:rPr>
      <w:rFonts w:eastAsia="Trebuchet MS" w:cs="Trebuchet MS"/>
      <w:sz w:val="22"/>
      <w:szCs w:val="22"/>
      <w:lang w:val="en-US"/>
    </w:rPr>
  </w:style>
  <w:style w:type="character" w:customStyle="1" w:styleId="BodyTextChar">
    <w:name w:val="Body Text Char"/>
    <w:basedOn w:val="DefaultParagraphFont"/>
    <w:link w:val="BodyText"/>
    <w:uiPriority w:val="1"/>
    <w:rsid w:val="00F77A60"/>
    <w:rPr>
      <w:rFonts w:ascii="Trebuchet MS" w:eastAsia="Trebuchet MS" w:hAnsi="Trebuchet MS" w:cs="Trebuchet MS"/>
      <w:lang w:val="en-US"/>
    </w:rPr>
  </w:style>
  <w:style w:type="paragraph" w:styleId="FootnoteText">
    <w:name w:val="footnote text"/>
    <w:basedOn w:val="Normal"/>
    <w:link w:val="FootnoteTextChar"/>
    <w:uiPriority w:val="99"/>
    <w:unhideWhenUsed/>
    <w:rsid w:val="00F77A60"/>
    <w:rPr>
      <w:rFonts w:ascii="Calibri" w:hAnsi="Calibri" w:cs="Times New Roman"/>
      <w:sz w:val="20"/>
      <w:szCs w:val="20"/>
    </w:rPr>
  </w:style>
  <w:style w:type="character" w:customStyle="1" w:styleId="FootnoteTextChar">
    <w:name w:val="Footnote Text Char"/>
    <w:basedOn w:val="DefaultParagraphFont"/>
    <w:link w:val="FootnoteText"/>
    <w:uiPriority w:val="99"/>
    <w:rsid w:val="00F77A60"/>
    <w:rPr>
      <w:rFonts w:ascii="Calibri" w:hAnsi="Calibri" w:cs="Times New Roman"/>
      <w:sz w:val="20"/>
      <w:szCs w:val="20"/>
    </w:rPr>
  </w:style>
  <w:style w:type="character" w:styleId="FootnoteReference">
    <w:name w:val="footnote reference"/>
    <w:basedOn w:val="DefaultParagraphFont"/>
    <w:uiPriority w:val="99"/>
    <w:semiHidden/>
    <w:unhideWhenUsed/>
    <w:rsid w:val="00F77A60"/>
    <w:rPr>
      <w:vertAlign w:val="superscript"/>
    </w:rPr>
  </w:style>
  <w:style w:type="paragraph" w:styleId="BalloonText">
    <w:name w:val="Balloon Text"/>
    <w:basedOn w:val="Normal"/>
    <w:link w:val="BalloonTextChar"/>
    <w:uiPriority w:val="99"/>
    <w:semiHidden/>
    <w:unhideWhenUsed/>
    <w:rsid w:val="00D56C8E"/>
    <w:rPr>
      <w:rFonts w:ascii="Segoe UI" w:hAnsi="Segoe UI" w:cs="Segoe UI"/>
      <w:sz w:val="18"/>
    </w:rPr>
  </w:style>
  <w:style w:type="character" w:customStyle="1" w:styleId="BalloonTextChar">
    <w:name w:val="Balloon Text Char"/>
    <w:basedOn w:val="DefaultParagraphFont"/>
    <w:link w:val="BalloonText"/>
    <w:uiPriority w:val="99"/>
    <w:semiHidden/>
    <w:rsid w:val="00D56C8E"/>
    <w:rPr>
      <w:rFonts w:ascii="Segoe UI" w:hAnsi="Segoe UI" w:cs="Segoe UI"/>
      <w:sz w:val="18"/>
      <w:szCs w:val="18"/>
    </w:rPr>
  </w:style>
  <w:style w:type="character" w:styleId="CommentReference">
    <w:name w:val="annotation reference"/>
    <w:basedOn w:val="DefaultParagraphFont"/>
    <w:uiPriority w:val="99"/>
    <w:semiHidden/>
    <w:unhideWhenUsed/>
    <w:rsid w:val="00492DE3"/>
    <w:rPr>
      <w:sz w:val="16"/>
      <w:szCs w:val="16"/>
    </w:rPr>
  </w:style>
  <w:style w:type="paragraph" w:styleId="CommentText">
    <w:name w:val="annotation text"/>
    <w:basedOn w:val="Normal"/>
    <w:link w:val="CommentTextChar"/>
    <w:uiPriority w:val="99"/>
    <w:semiHidden/>
    <w:unhideWhenUsed/>
    <w:rsid w:val="00492DE3"/>
    <w:rPr>
      <w:sz w:val="20"/>
      <w:szCs w:val="20"/>
    </w:rPr>
  </w:style>
  <w:style w:type="character" w:customStyle="1" w:styleId="CommentTextChar">
    <w:name w:val="Comment Text Char"/>
    <w:basedOn w:val="DefaultParagraphFont"/>
    <w:link w:val="CommentText"/>
    <w:uiPriority w:val="99"/>
    <w:semiHidden/>
    <w:rsid w:val="00492DE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492DE3"/>
    <w:rPr>
      <w:b/>
      <w:bCs/>
    </w:rPr>
  </w:style>
  <w:style w:type="character" w:customStyle="1" w:styleId="CommentSubjectChar">
    <w:name w:val="Comment Subject Char"/>
    <w:basedOn w:val="CommentTextChar"/>
    <w:link w:val="CommentSubject"/>
    <w:uiPriority w:val="99"/>
    <w:semiHidden/>
    <w:rsid w:val="00492DE3"/>
    <w:rPr>
      <w:rFonts w:ascii="Trebuchet MS" w:hAnsi="Trebuchet MS"/>
      <w:b/>
      <w:bCs/>
      <w:sz w:val="20"/>
      <w:szCs w:val="20"/>
    </w:rPr>
  </w:style>
  <w:style w:type="character" w:styleId="PlaceholderText">
    <w:name w:val="Placeholder Text"/>
    <w:basedOn w:val="DefaultParagraphFont"/>
    <w:uiPriority w:val="99"/>
    <w:semiHidden/>
    <w:rsid w:val="00E352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993">
      <w:bodyDiv w:val="1"/>
      <w:marLeft w:val="0"/>
      <w:marRight w:val="0"/>
      <w:marTop w:val="0"/>
      <w:marBottom w:val="0"/>
      <w:divBdr>
        <w:top w:val="none" w:sz="0" w:space="0" w:color="auto"/>
        <w:left w:val="none" w:sz="0" w:space="0" w:color="auto"/>
        <w:bottom w:val="none" w:sz="0" w:space="0" w:color="auto"/>
        <w:right w:val="none" w:sz="0" w:space="0" w:color="auto"/>
      </w:divBdr>
    </w:div>
    <w:div w:id="257951893">
      <w:bodyDiv w:val="1"/>
      <w:marLeft w:val="0"/>
      <w:marRight w:val="0"/>
      <w:marTop w:val="0"/>
      <w:marBottom w:val="0"/>
      <w:divBdr>
        <w:top w:val="none" w:sz="0" w:space="0" w:color="auto"/>
        <w:left w:val="none" w:sz="0" w:space="0" w:color="auto"/>
        <w:bottom w:val="none" w:sz="0" w:space="0" w:color="auto"/>
        <w:right w:val="none" w:sz="0" w:space="0" w:color="auto"/>
      </w:divBdr>
    </w:div>
    <w:div w:id="395130736">
      <w:bodyDiv w:val="1"/>
      <w:marLeft w:val="0"/>
      <w:marRight w:val="0"/>
      <w:marTop w:val="0"/>
      <w:marBottom w:val="0"/>
      <w:divBdr>
        <w:top w:val="none" w:sz="0" w:space="0" w:color="auto"/>
        <w:left w:val="none" w:sz="0" w:space="0" w:color="auto"/>
        <w:bottom w:val="none" w:sz="0" w:space="0" w:color="auto"/>
        <w:right w:val="none" w:sz="0" w:space="0" w:color="auto"/>
      </w:divBdr>
    </w:div>
    <w:div w:id="465466481">
      <w:bodyDiv w:val="1"/>
      <w:marLeft w:val="0"/>
      <w:marRight w:val="0"/>
      <w:marTop w:val="0"/>
      <w:marBottom w:val="0"/>
      <w:divBdr>
        <w:top w:val="none" w:sz="0" w:space="0" w:color="auto"/>
        <w:left w:val="none" w:sz="0" w:space="0" w:color="auto"/>
        <w:bottom w:val="none" w:sz="0" w:space="0" w:color="auto"/>
        <w:right w:val="none" w:sz="0" w:space="0" w:color="auto"/>
      </w:divBdr>
    </w:div>
    <w:div w:id="722489714">
      <w:bodyDiv w:val="1"/>
      <w:marLeft w:val="0"/>
      <w:marRight w:val="0"/>
      <w:marTop w:val="0"/>
      <w:marBottom w:val="0"/>
      <w:divBdr>
        <w:top w:val="none" w:sz="0" w:space="0" w:color="auto"/>
        <w:left w:val="none" w:sz="0" w:space="0" w:color="auto"/>
        <w:bottom w:val="none" w:sz="0" w:space="0" w:color="auto"/>
        <w:right w:val="none" w:sz="0" w:space="0" w:color="auto"/>
      </w:divBdr>
    </w:div>
    <w:div w:id="770706648">
      <w:bodyDiv w:val="1"/>
      <w:marLeft w:val="0"/>
      <w:marRight w:val="0"/>
      <w:marTop w:val="0"/>
      <w:marBottom w:val="0"/>
      <w:divBdr>
        <w:top w:val="none" w:sz="0" w:space="0" w:color="auto"/>
        <w:left w:val="none" w:sz="0" w:space="0" w:color="auto"/>
        <w:bottom w:val="none" w:sz="0" w:space="0" w:color="auto"/>
        <w:right w:val="none" w:sz="0" w:space="0" w:color="auto"/>
      </w:divBdr>
    </w:div>
    <w:div w:id="1017924731">
      <w:bodyDiv w:val="1"/>
      <w:marLeft w:val="0"/>
      <w:marRight w:val="0"/>
      <w:marTop w:val="0"/>
      <w:marBottom w:val="0"/>
      <w:divBdr>
        <w:top w:val="none" w:sz="0" w:space="0" w:color="auto"/>
        <w:left w:val="none" w:sz="0" w:space="0" w:color="auto"/>
        <w:bottom w:val="none" w:sz="0" w:space="0" w:color="auto"/>
        <w:right w:val="none" w:sz="0" w:space="0" w:color="auto"/>
      </w:divBdr>
    </w:div>
    <w:div w:id="1180042097">
      <w:bodyDiv w:val="1"/>
      <w:marLeft w:val="0"/>
      <w:marRight w:val="0"/>
      <w:marTop w:val="0"/>
      <w:marBottom w:val="0"/>
      <w:divBdr>
        <w:top w:val="none" w:sz="0" w:space="0" w:color="auto"/>
        <w:left w:val="none" w:sz="0" w:space="0" w:color="auto"/>
        <w:bottom w:val="none" w:sz="0" w:space="0" w:color="auto"/>
        <w:right w:val="none" w:sz="0" w:space="0" w:color="auto"/>
      </w:divBdr>
    </w:div>
    <w:div w:id="1244947366">
      <w:bodyDiv w:val="1"/>
      <w:marLeft w:val="0"/>
      <w:marRight w:val="0"/>
      <w:marTop w:val="0"/>
      <w:marBottom w:val="0"/>
      <w:divBdr>
        <w:top w:val="none" w:sz="0" w:space="0" w:color="auto"/>
        <w:left w:val="none" w:sz="0" w:space="0" w:color="auto"/>
        <w:bottom w:val="none" w:sz="0" w:space="0" w:color="auto"/>
        <w:right w:val="none" w:sz="0" w:space="0" w:color="auto"/>
      </w:divBdr>
    </w:div>
    <w:div w:id="1819879487">
      <w:bodyDiv w:val="1"/>
      <w:marLeft w:val="0"/>
      <w:marRight w:val="0"/>
      <w:marTop w:val="0"/>
      <w:marBottom w:val="0"/>
      <w:divBdr>
        <w:top w:val="none" w:sz="0" w:space="0" w:color="auto"/>
        <w:left w:val="none" w:sz="0" w:space="0" w:color="auto"/>
        <w:bottom w:val="none" w:sz="0" w:space="0" w:color="auto"/>
        <w:right w:val="none" w:sz="0" w:space="0" w:color="auto"/>
      </w:divBdr>
    </w:div>
    <w:div w:id="1856650063">
      <w:bodyDiv w:val="1"/>
      <w:marLeft w:val="0"/>
      <w:marRight w:val="0"/>
      <w:marTop w:val="0"/>
      <w:marBottom w:val="0"/>
      <w:divBdr>
        <w:top w:val="none" w:sz="0" w:space="0" w:color="auto"/>
        <w:left w:val="none" w:sz="0" w:space="0" w:color="auto"/>
        <w:bottom w:val="none" w:sz="0" w:space="0" w:color="auto"/>
        <w:right w:val="none" w:sz="0" w:space="0" w:color="auto"/>
      </w:divBdr>
    </w:div>
    <w:div w:id="20018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97A81870574F16ACD2F2F1901526BB"/>
        <w:category>
          <w:name w:val="General"/>
          <w:gallery w:val="placeholder"/>
        </w:category>
        <w:types>
          <w:type w:val="bbPlcHdr"/>
        </w:types>
        <w:behaviors>
          <w:behavior w:val="content"/>
        </w:behaviors>
        <w:guid w:val="{FE45B2CC-1E4B-4683-8DA9-5AFD9FFCFCF9}"/>
      </w:docPartPr>
      <w:docPartBody>
        <w:p w:rsidR="000A0CFB" w:rsidRDefault="00597887" w:rsidP="00597887">
          <w:pPr>
            <w:pStyle w:val="7597A81870574F16ACD2F2F1901526BB"/>
          </w:pPr>
          <w:r w:rsidRPr="005B62F8">
            <w:rPr>
              <w:rStyle w:val="PlaceholderText"/>
            </w:rPr>
            <w:t>Choose an item.</w:t>
          </w:r>
        </w:p>
      </w:docPartBody>
    </w:docPart>
    <w:docPart>
      <w:docPartPr>
        <w:name w:val="B4A46C12E954491F948CC38B4E89D4E3"/>
        <w:category>
          <w:name w:val="General"/>
          <w:gallery w:val="placeholder"/>
        </w:category>
        <w:types>
          <w:type w:val="bbPlcHdr"/>
        </w:types>
        <w:behaviors>
          <w:behavior w:val="content"/>
        </w:behaviors>
        <w:guid w:val="{68994206-A07F-4A67-8CA5-B134C19C6069}"/>
      </w:docPartPr>
      <w:docPartBody>
        <w:p w:rsidR="000A0CFB" w:rsidRDefault="00597887" w:rsidP="00597887">
          <w:pPr>
            <w:pStyle w:val="B4A46C12E954491F948CC38B4E89D4E3"/>
          </w:pPr>
          <w:r w:rsidRPr="005B62F8">
            <w:rPr>
              <w:rStyle w:val="PlaceholderText"/>
            </w:rPr>
            <w:t>Choose an item.</w:t>
          </w:r>
        </w:p>
      </w:docPartBody>
    </w:docPart>
    <w:docPart>
      <w:docPartPr>
        <w:name w:val="447EAB21662B48D3BE7F8D2E168ABED3"/>
        <w:category>
          <w:name w:val="General"/>
          <w:gallery w:val="placeholder"/>
        </w:category>
        <w:types>
          <w:type w:val="bbPlcHdr"/>
        </w:types>
        <w:behaviors>
          <w:behavior w:val="content"/>
        </w:behaviors>
        <w:guid w:val="{E4892CFD-A2AE-4D3A-818D-B4118F3B57F0}"/>
      </w:docPartPr>
      <w:docPartBody>
        <w:p w:rsidR="000A0CFB" w:rsidRDefault="00597887" w:rsidP="00597887">
          <w:pPr>
            <w:pStyle w:val="447EAB21662B48D3BE7F8D2E168ABED3"/>
          </w:pPr>
          <w:r w:rsidRPr="005B62F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87"/>
    <w:rsid w:val="000A0CFB"/>
    <w:rsid w:val="000F08E0"/>
    <w:rsid w:val="002C1512"/>
    <w:rsid w:val="00310632"/>
    <w:rsid w:val="00451108"/>
    <w:rsid w:val="004A555D"/>
    <w:rsid w:val="00597887"/>
    <w:rsid w:val="005A5A0D"/>
    <w:rsid w:val="006B63C2"/>
    <w:rsid w:val="007153F6"/>
    <w:rsid w:val="00766D85"/>
    <w:rsid w:val="00817521"/>
    <w:rsid w:val="008E68C3"/>
    <w:rsid w:val="009978BB"/>
    <w:rsid w:val="00AC3581"/>
    <w:rsid w:val="00B22AB1"/>
    <w:rsid w:val="00CB5422"/>
    <w:rsid w:val="00D17077"/>
    <w:rsid w:val="00D36392"/>
    <w:rsid w:val="00F55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887"/>
    <w:rPr>
      <w:color w:val="808080"/>
    </w:rPr>
  </w:style>
  <w:style w:type="paragraph" w:customStyle="1" w:styleId="7597A81870574F16ACD2F2F1901526BB">
    <w:name w:val="7597A81870574F16ACD2F2F1901526BB"/>
    <w:rsid w:val="00597887"/>
  </w:style>
  <w:style w:type="paragraph" w:customStyle="1" w:styleId="B4A46C12E954491F948CC38B4E89D4E3">
    <w:name w:val="B4A46C12E954491F948CC38B4E89D4E3"/>
    <w:rsid w:val="00597887"/>
  </w:style>
  <w:style w:type="paragraph" w:customStyle="1" w:styleId="447EAB21662B48D3BE7F8D2E168ABED3">
    <w:name w:val="447EAB21662B48D3BE7F8D2E168ABED3"/>
    <w:rsid w:val="00597887"/>
  </w:style>
  <w:style w:type="paragraph" w:customStyle="1" w:styleId="4E441BB6E5164386A38EA0A35ACC76B6">
    <w:name w:val="4E441BB6E5164386A38EA0A35ACC76B6"/>
    <w:rsid w:val="00597887"/>
  </w:style>
  <w:style w:type="paragraph" w:customStyle="1" w:styleId="E5F8CBF670B24A7BA94BD8E1B4C73A42">
    <w:name w:val="E5F8CBF670B24A7BA94BD8E1B4C73A42"/>
    <w:rsid w:val="00597887"/>
  </w:style>
  <w:style w:type="paragraph" w:customStyle="1" w:styleId="C6DED12945764BB4871656133BBFDD91">
    <w:name w:val="C6DED12945764BB4871656133BBFDD91"/>
    <w:rsid w:val="00597887"/>
  </w:style>
  <w:style w:type="paragraph" w:customStyle="1" w:styleId="19EB24E18DD84EB1BD483D53980FB570">
    <w:name w:val="19EB24E18DD84EB1BD483D53980FB570"/>
    <w:rsid w:val="00817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1C3A-8BA1-48CF-B50A-28F5C386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Board Report</vt:lpstr>
    </vt:vector>
  </TitlesOfParts>
  <Company>SLAB</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Report</dc:title>
  <dc:subject>Operational Performance</dc:subject>
  <dc:creator>Ann Forbes-Partington</dc:creator>
  <cp:keywords/>
  <dc:description/>
  <cp:lastModifiedBy>Andrew McIntosh</cp:lastModifiedBy>
  <cp:revision>4</cp:revision>
  <dcterms:created xsi:type="dcterms:W3CDTF">2022-06-16T13:27:00Z</dcterms:created>
  <dcterms:modified xsi:type="dcterms:W3CDTF">2022-06-20T15:13:00Z</dcterms:modified>
</cp:coreProperties>
</file>